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9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9072" w:type="dxa"/>
            <w:tcMar>
              <w:top w:w="0" w:type="dxa"/>
              <w:left w:w="108" w:type="dxa"/>
              <w:bottom w:w="0" w:type="dxa"/>
              <w:right w:w="108" w:type="dxa"/>
            </w:tcMar>
            <w:vAlign w:val="top"/>
          </w:tcPr>
          <w:tbl>
            <w:tblPr>
              <w:tblW w:w="8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2931"/>
              <w:gridCol w:w="2931"/>
              <w:gridCol w:w="2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17" w:hRule="atLeast"/>
                <w:jc w:val="center"/>
              </w:trPr>
              <w:tc>
                <w:tcPr>
                  <w:tcW w:w="2931" w:type="dxa"/>
                  <w:tcBorders>
                    <w:top w:val="nil"/>
                    <w:left w:val="nil"/>
                    <w:bottom w:val="single" w:color="660066" w:sz="8" w:space="0"/>
                    <w:right w:val="nil"/>
                  </w:tcBorders>
                  <w:tcMar>
                    <w:top w:w="0" w:type="dxa"/>
                    <w:left w:w="108" w:type="dxa"/>
                    <w:bottom w:w="0" w:type="dxa"/>
                    <w:right w:w="108" w:type="dxa"/>
                  </w:tcMar>
                  <w:vAlign w:val="center"/>
                </w:tcPr>
                <w:p>
                  <w:pPr>
                    <w:spacing w:after="0" w:line="240" w:lineRule="atLeast"/>
                    <w:rPr>
                      <w:rFonts w:ascii="Times New Roman" w:hAnsi="Times New Roman" w:eastAsia="Times New Roman" w:cs="Times New Roman"/>
                      <w:sz w:val="24"/>
                      <w:szCs w:val="24"/>
                      <w:lang/>
                    </w:rPr>
                  </w:pPr>
                  <w:bookmarkStart w:id="0" w:name="_GoBack"/>
                  <w:bookmarkEnd w:id="0"/>
                  <w:r>
                    <w:rPr>
                      <w:rFonts w:ascii="Arial" w:hAnsi="Arial" w:eastAsia="Times New Roman" w:cs="Arial"/>
                      <w:sz w:val="16"/>
                      <w:szCs w:val="16"/>
                      <w:lang/>
                    </w:rPr>
                    <w:t>22 Ocak 2016 CUMA</w:t>
                  </w:r>
                </w:p>
              </w:tc>
              <w:tc>
                <w:tcPr>
                  <w:tcW w:w="2931" w:type="dxa"/>
                  <w:tcBorders>
                    <w:top w:val="nil"/>
                    <w:left w:val="nil"/>
                    <w:bottom w:val="single" w:color="660066" w:sz="8" w:space="0"/>
                    <w:right w:val="nil"/>
                  </w:tcBorders>
                  <w:tcMar>
                    <w:top w:w="0" w:type="dxa"/>
                    <w:left w:w="108" w:type="dxa"/>
                    <w:bottom w:w="0" w:type="dxa"/>
                    <w:right w:w="108" w:type="dxa"/>
                  </w:tcMar>
                  <w:vAlign w:val="center"/>
                </w:tcPr>
                <w:p>
                  <w:pPr>
                    <w:spacing w:after="0" w:line="240" w:lineRule="atLeast"/>
                    <w:jc w:val="center"/>
                    <w:rPr>
                      <w:rFonts w:ascii="Times New Roman" w:hAnsi="Times New Roman" w:eastAsia="Times New Roman" w:cs="Times New Roman"/>
                      <w:sz w:val="24"/>
                      <w:szCs w:val="24"/>
                      <w:lang/>
                    </w:rPr>
                  </w:pPr>
                  <w:r>
                    <w:rPr>
                      <w:rFonts w:ascii="Palatino Linotype" w:hAnsi="Palatino Linotype" w:eastAsia="Times New Roman" w:cs="Times New Roman"/>
                      <w:b/>
                      <w:bCs/>
                      <w:color w:val="800080"/>
                      <w:sz w:val="24"/>
                      <w:szCs w:val="24"/>
                      <w:lang/>
                    </w:rPr>
                    <w:t>Resmî Gazete</w:t>
                  </w:r>
                </w:p>
              </w:tc>
              <w:tc>
                <w:tcPr>
                  <w:tcW w:w="2927" w:type="dxa"/>
                  <w:tcBorders>
                    <w:top w:val="nil"/>
                    <w:left w:val="nil"/>
                    <w:bottom w:val="single" w:color="660066" w:sz="8" w:space="0"/>
                    <w:right w:val="nil"/>
                  </w:tcBorders>
                  <w:tcMar>
                    <w:top w:w="0" w:type="dxa"/>
                    <w:left w:w="108" w:type="dxa"/>
                    <w:bottom w:w="0" w:type="dxa"/>
                    <w:right w:w="108" w:type="dxa"/>
                  </w:tcMar>
                  <w:vAlign w:val="center"/>
                </w:tcPr>
                <w:p>
                  <w:pPr>
                    <w:spacing w:before="100" w:beforeAutospacing="1" w:after="100" w:afterAutospacing="1" w:line="240" w:lineRule="auto"/>
                    <w:jc w:val="right"/>
                    <w:rPr>
                      <w:rFonts w:ascii="Times New Roman" w:hAnsi="Times New Roman" w:eastAsia="Times New Roman" w:cs="Times New Roman"/>
                      <w:sz w:val="24"/>
                      <w:szCs w:val="24"/>
                      <w:lang/>
                    </w:rPr>
                  </w:pPr>
                  <w:r>
                    <w:rPr>
                      <w:rFonts w:ascii="Arial" w:hAnsi="Arial" w:eastAsia="Times New Roman" w:cs="Arial"/>
                      <w:sz w:val="16"/>
                      <w:szCs w:val="16"/>
                      <w:lang/>
                    </w:rPr>
                    <w:t>Sayı : 29601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80" w:hRule="atLeast"/>
                <w:jc w:val="center"/>
              </w:trPr>
              <w:tc>
                <w:tcPr>
                  <w:tcW w:w="8789" w:type="dxa"/>
                  <w:gridSpan w:val="3"/>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eastAsia="Times New Roman" w:cs="Times New Roman"/>
                      <w:sz w:val="24"/>
                      <w:szCs w:val="24"/>
                      <w:lang/>
                    </w:rPr>
                  </w:pPr>
                  <w:r>
                    <w:rPr>
                      <w:rFonts w:ascii="Arial" w:hAnsi="Arial" w:eastAsia="Times New Roman" w:cs="Arial"/>
                      <w:b/>
                      <w:bCs/>
                      <w:color w:val="000080"/>
                      <w:sz w:val="18"/>
                      <w:szCs w:val="18"/>
                      <w:lang/>
                    </w:rPr>
                    <w:t>YÖNETMELİK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80" w:hRule="atLeast"/>
                <w:jc w:val="center"/>
              </w:trPr>
              <w:tc>
                <w:tcPr>
                  <w:tcW w:w="8789" w:type="dxa"/>
                  <w:gridSpan w:val="3"/>
                  <w:tcMar>
                    <w:top w:w="0" w:type="dxa"/>
                    <w:left w:w="108" w:type="dxa"/>
                    <w:bottom w:w="0" w:type="dxa"/>
                    <w:right w:w="108" w:type="dxa"/>
                  </w:tcMar>
                  <w:vAlign w:val="center"/>
                </w:tcPr>
                <w:p>
                  <w:pPr>
                    <w:spacing w:after="0" w:line="240" w:lineRule="atLeast"/>
                    <w:ind w:firstLine="566"/>
                    <w:jc w:val="both"/>
                    <w:rPr>
                      <w:rFonts w:ascii="Times New Roman" w:hAnsi="Times New Roman" w:eastAsia="Times New Roman" w:cs="Times New Roman"/>
                      <w:u w:val="single"/>
                      <w:lang/>
                    </w:rPr>
                  </w:pPr>
                  <w:r>
                    <w:rPr>
                      <w:rFonts w:ascii="Times New Roman" w:hAnsi="Times New Roman" w:eastAsia="Times New Roman" w:cs="Times New Roman"/>
                      <w:sz w:val="18"/>
                      <w:szCs w:val="18"/>
                      <w:u w:val="single"/>
                      <w:lang/>
                    </w:rPr>
                    <w:t>Gümrük ve Ticaret Bakanlığından:</w:t>
                  </w:r>
                </w:p>
                <w:p>
                  <w:pPr>
                    <w:spacing w:before="56" w:after="0" w:line="240" w:lineRule="atLeast"/>
                    <w:jc w:val="center"/>
                    <w:rPr>
                      <w:rFonts w:ascii="Times New Roman" w:hAnsi="Times New Roman" w:eastAsia="Times New Roman" w:cs="Times New Roman"/>
                      <w:b/>
                      <w:bCs/>
                      <w:sz w:val="19"/>
                      <w:szCs w:val="19"/>
                      <w:lang/>
                    </w:rPr>
                  </w:pPr>
                  <w:r>
                    <w:rPr>
                      <w:rFonts w:ascii="Times New Roman" w:hAnsi="Times New Roman" w:eastAsia="Times New Roman" w:cs="Times New Roman"/>
                      <w:b/>
                      <w:bCs/>
                      <w:sz w:val="18"/>
                      <w:szCs w:val="18"/>
                      <w:lang/>
                    </w:rPr>
                    <w:t>GÜMRÜK YÖNETMELİĞİNDE DEĞİŞİKLİK YAPILMASINA</w:t>
                  </w:r>
                </w:p>
                <w:p>
                  <w:pPr>
                    <w:spacing w:after="113" w:line="240" w:lineRule="atLeast"/>
                    <w:jc w:val="center"/>
                    <w:rPr>
                      <w:rFonts w:ascii="Times New Roman" w:hAnsi="Times New Roman" w:eastAsia="Times New Roman" w:cs="Times New Roman"/>
                      <w:b/>
                      <w:bCs/>
                      <w:sz w:val="19"/>
                      <w:szCs w:val="19"/>
                      <w:lang/>
                    </w:rPr>
                  </w:pPr>
                  <w:r>
                    <w:rPr>
                      <w:rFonts w:ascii="Times New Roman" w:hAnsi="Times New Roman" w:eastAsia="Times New Roman" w:cs="Times New Roman"/>
                      <w:b/>
                      <w:bCs/>
                      <w:sz w:val="18"/>
                      <w:szCs w:val="18"/>
                      <w:lang/>
                    </w:rPr>
                    <w:t>DAİR YÖNETMELİK</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1 –</w:t>
                  </w:r>
                  <w:r>
                    <w:rPr>
                      <w:rFonts w:ascii="Times New Roman" w:hAnsi="Times New Roman" w:eastAsia="Times New Roman" w:cs="Times New Roman"/>
                      <w:sz w:val="18"/>
                      <w:szCs w:val="18"/>
                      <w:lang/>
                    </w:rPr>
                    <w:t> 7/10/2009 tarihli ve 27369 mükerrer sayılı Resmî Gazete’de yayımlanan Gümrük Yönetmeliğinin 51 inci maddesinin onuncu fıkrasında yer alan “de bir örneğinin” ibaresi “Bakanlıkça belirlenen veri alanlarının” olarak değiştirilmiştir.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2 –</w:t>
                  </w:r>
                  <w:r>
                    <w:rPr>
                      <w:rFonts w:ascii="Times New Roman" w:hAnsi="Times New Roman" w:eastAsia="Times New Roman" w:cs="Times New Roman"/>
                      <w:sz w:val="18"/>
                      <w:szCs w:val="18"/>
                      <w:lang/>
                    </w:rPr>
                    <w:t> Aynı Yönetmeliğin 72/Ş maddesinin birinci fıkrası aşağıdaki şekilde değiştirilmiştir.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“(1) Kanunun 218 inci maddesinde belirtilen işleticiler;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a) Gümrük gözetim ve kontrolü işlemlerinin yapılmasını gerçekleştirmek üzere bedelsiz olarak;</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1) Eşya, yolcu ve araçların fiziki aramasının etkin bir şekilde yapılabileceği kapalı arama tesisleri ile gümrük muayenesinin yapılabileceği uygun yerlerin teminini,</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2) Eşya, yolcu ve taşıt trafiğine ilişkin olarak kullandıkları otomasyon sistemlerine, yazılımlara ve CCTV kamera sistemlerine gümrük idaresince erişimin sağlanması ve/veya bunlardan gümrük idaresince kullanılan sistemlere veri aktarımının düzenli ve kesintisiz olarak yapılmasını,</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3) Birinci alt bentte belirtilen yer ve tesislerin bakım ve onarımlarının gerçekleştirilmesi ile ikinci alt bentte belirtilen sistemlerin düzenli olarak işletilmesi, güncellenmesi ve Bakanlık sistemleriyle uyumlu hale getirilmesini, </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4) 72 ve 72/S maddelerinde belirtilen gözetim önlemleri ile kişi, eşya ve taşıtların gümrük işlemleri tamamlanmadan gümrüklü yer ve sahalardan çıkmalarını önlemeye yönelik gümrük idaresince talep edilen gerekli tedbirlerin alınmasını,</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sağlamak,</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b) Gümrük idaresince bilgisayar veri işleme tekniği yoluyla iletilen veri, mesaj ve talimatların gereğini yerine getirmek,</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c) Aksi belirtilmedikçe, gümrük idaresince bildirilen ve gizli tutulması istenilen bilgileri açıklamamak,</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ile yükümlüdürler.”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3 –</w:t>
                  </w:r>
                  <w:r>
                    <w:rPr>
                      <w:rFonts w:ascii="Times New Roman" w:hAnsi="Times New Roman" w:eastAsia="Times New Roman" w:cs="Times New Roman"/>
                      <w:sz w:val="18"/>
                      <w:szCs w:val="18"/>
                      <w:lang/>
                    </w:rPr>
                    <w:t> Aynı Yönetmeliğin 79 uncu maddesinin ikinci fıkrası aşağıdaki şekilde değiştirilmiştir.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“(2) Ağır ve havaleli eşyanın konulmasına mahsus olmak üzere, limanlar gibi gümrük işlemlerinin yapıldığı yerlerde bulunan geçici depolama yerlerinin mütemmim cüz’ü niteliğindeki açık alanlar; yolcu eşyasının, yolcu beraberinde getirilip gümrüğe sunulmasından sonra gümrükçe onaylanmış bir işlem veya kullanıma tabi tutuluncaya kadar konulduğu gümrük ambarları ile bu ambarların mütemmim cüz’ü niteliğindeki ithalat vergilerinden tam muafiyet suretiyle geçici ithal edilen ve yurt dışı edilmek ya da gümrükçe onaylanmış bir işlem veya kullanıma tabi tutulmak üzere gümrük idarelerince teslim alınan kişisel kullanıma mahsus kara taşıtlarının konulduğu yerler de geçici depolama yeri addolunur. Yolcu eşyası ve taşıtlar buralarda üç ay kalabilir. Bu süre, talep halinde mücbir sebep belgesi aranmaksızın ilgili gümrük müdürlüğünce üç aya kadar uzatılabilir.”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4 –</w:t>
                  </w:r>
                  <w:r>
                    <w:rPr>
                      <w:rFonts w:ascii="Times New Roman" w:hAnsi="Times New Roman" w:eastAsia="Times New Roman" w:cs="Times New Roman"/>
                      <w:sz w:val="18"/>
                      <w:szCs w:val="18"/>
                      <w:lang/>
                    </w:rPr>
                    <w:t> Aynı Yönetmeliğin 86 ncı maddesinin ikinci fıkrasının birinci cümlesi aşağıdaki şekilde değiştirilmiştir.</w:t>
                  </w:r>
                </w:p>
                <w:p>
                  <w:pPr>
                    <w:spacing w:after="0" w:line="240" w:lineRule="atLeast"/>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“Kanunun 46 ncı ve 48 inci maddeleri ile bu Yönetmeliğin 76 ncı ve 79 uncu maddelerinde belirtilen süreler içerisinde gümrükçe onaylanmış bir işlem veya kullanım belirlenerek buna ilişkin işlemlere başlanmayan eşya ile kişisel kullanıma mahsus kara taşıtları hakkında herhangi bir adli veya idari takibat olmaması halinde tasfiye hükümleri uygulanır.”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5 –</w:t>
                  </w:r>
                  <w:r>
                    <w:rPr>
                      <w:rFonts w:ascii="Times New Roman" w:hAnsi="Times New Roman" w:eastAsia="Times New Roman" w:cs="Times New Roman"/>
                      <w:sz w:val="18"/>
                      <w:szCs w:val="18"/>
                      <w:lang/>
                    </w:rPr>
                    <w:t> Aynı Yönetmeliğin 96 ncı maddesinin ikinci fıkrası aşağıdaki şekilde değiştirilmiştir.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“(2) 333 üncü maddenin birinci, ikinci ve beşinci fıkra hükümleri aynı zamanda geçici depolama işlemlerinde de uygulanır. Eşyanın devri ile birlikte gümrük vergileri ile para cezaları da dâhil olmak üzere eşya ile ilgili hukuki sorumluluklar devralana geçer.”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6 –</w:t>
                  </w:r>
                  <w:r>
                    <w:rPr>
                      <w:rFonts w:ascii="Times New Roman" w:hAnsi="Times New Roman" w:eastAsia="Times New Roman" w:cs="Times New Roman"/>
                      <w:sz w:val="18"/>
                      <w:szCs w:val="18"/>
                      <w:lang/>
                    </w:rPr>
                    <w:t> Aynı Yönetmeliğin 196 ncı maddesine aşağıdaki fıkra eklenmiştir.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“(7) Özel Tüketim Vergisi Kanunu eki (I) sayılı liste kapsamında yer alan eşya hariç olmak üzere birinci fıkrada belirtilen eşyanın transit rejimi beyanında bulunulduğu durumda, beyanın belge kontrolüne tabi tutulması ya da fiziki muayeneye tabi tutulan eşyanın niteliği itibarıyla gümrük tarife istatistik pozisyonunun tespitinin mümkün olması halinde eşya laboratuvar tahliline tabi tutulmaz. Ayrıca, transit rejimine tabi tutulan birinci fıkranın (a) bendinde belirtilen eşyanın ayniyetinin korunmasına ilişkin usul ve esasların Bakanlıkça belirlendiği durumlarda, ilgili usul ve esaslar çerçevesinde işlem yapılır.”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7 –</w:t>
                  </w:r>
                  <w:r>
                    <w:rPr>
                      <w:rFonts w:ascii="Times New Roman" w:hAnsi="Times New Roman" w:eastAsia="Times New Roman" w:cs="Times New Roman"/>
                      <w:sz w:val="18"/>
                      <w:szCs w:val="18"/>
                      <w:lang/>
                    </w:rPr>
                    <w:t> Aynı Yönetmeliğin 199 uncu maddesinin birinci fıkrasının (ç) bendi aşağıdaki şekilde değiştirilmiştir.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“ç) Kapalı kaplar içine veya şişelere konan numunelerin ağızları numuneyi alan muayene ile görevli memur tarafından güvenlik mührü ya da eritilmiş mum üzerine okunaklı bir şekilde tatbik edilen mühürle kapatılır. Mum mühür tatbik edilecek numunelerin mühürlenmesinde Bakanlık tarafından bu amaçla temin edilerek personele teslim edilen şahsi sicil numarasını taşıyan mühür kullanılır. Ayrıca güvenlik bantlı ve numaralandırılmış torbalar kullanılabilir.”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8 –</w:t>
                  </w:r>
                  <w:r>
                    <w:rPr>
                      <w:rFonts w:ascii="Times New Roman" w:hAnsi="Times New Roman" w:eastAsia="Times New Roman" w:cs="Times New Roman"/>
                      <w:sz w:val="18"/>
                      <w:szCs w:val="18"/>
                      <w:lang/>
                    </w:rPr>
                    <w:t> Aynı Yönetmeliğin 224 üncü maddesine aşağıdaki fıkralar eklenmiştir.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“(3) Genel yönetim kapsamındaki kamu idareleri, iktisadi devlet teşekkülleri ve kamu iktisadi kuruluşları ile sermayesinin tamamı bir iktisadi devlet teşekkülüne veya kamu iktisadi kuruluşuna ait bağlı müesseselerin başvurularında bu maddede belirtilen şartlar aranmaz.</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(4) Taşıma türlerine özgü basitleştirmelerde, bu maddede sayılan koşullara ek olarak aranacak özel koşullar ve bu maddede belirtilen şartların aranmayacağı haller Bakanlıkça belirlenir.”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9 –</w:t>
                  </w:r>
                  <w:r>
                    <w:rPr>
                      <w:rFonts w:ascii="Times New Roman" w:hAnsi="Times New Roman" w:eastAsia="Times New Roman" w:cs="Times New Roman"/>
                      <w:sz w:val="18"/>
                      <w:szCs w:val="18"/>
                      <w:lang/>
                    </w:rPr>
                    <w:t> Aynı Yönetmeliğin 232 nci maddesine aşağıdaki fıkra eklenmiştir.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“(3) Asıl sorumlu tarafından bilgisayarlı transit sistemi üzerinden yapılan ve beyanın yapıldığı tarihten itibaren otuz gün içerisinde kabul işlemi yapılmak üzere hareket idaresine sunulmayan transit beyanları hareket idaresince geri çevrilir. Bu durumdaki transit beyanları da dâhil olmak üzere, hareket idaresince kabul işlemi yapılmayan transit beyanlarının geri çevrilmesi durumunda Kanunun 241 inci maddesi uyarınca işlem yapılmaz.”</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10 –</w:t>
                  </w:r>
                  <w:r>
                    <w:rPr>
                      <w:rFonts w:ascii="Times New Roman" w:hAnsi="Times New Roman" w:eastAsia="Times New Roman" w:cs="Times New Roman"/>
                      <w:sz w:val="18"/>
                      <w:szCs w:val="18"/>
                      <w:lang/>
                    </w:rPr>
                    <w:t> Aynı Yönetmeliğin 264 üncü maddesi aşağıdaki şekilde değiştirilmiştir.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264 –</w:t>
                  </w:r>
                  <w:r>
                    <w:rPr>
                      <w:rFonts w:ascii="Times New Roman" w:hAnsi="Times New Roman" w:eastAsia="Times New Roman" w:cs="Times New Roman"/>
                      <w:sz w:val="18"/>
                      <w:szCs w:val="18"/>
                      <w:lang/>
                    </w:rPr>
                    <w:t> (1) Transit rejimi çerçevesinde eşyanın havayolu ile basitleştirilmiş usulde taşınmasına ilişkin yapılacak izin başvurusunda, başvuru sahibinin serbest bölgeler hariç Türkiye Gümrük Bölgesinde en az iki yıldır yerleşik olması, başkası adına ve namına hareket etmemesi, düzenli olarak transit işlemleri yapması ve Yönetim Kurulu üyeleri, sermayesinin yüzde onundan fazlasına sahip gerçek kişiler ile gümrük ve dış ticaret işlemlerinde temsil yetkisini haiz çalışanlarının 224 üncü maddenin birinci fıkrasının (c) bendinde belirtilen mevzuat hükümleri uyarınca kesinleşmiş ceza veya mahkûmiyet kararının bulunmaması şartı aranır. Bu kapsamda yapılacak başvurularda, 224 üncü maddede belirtilen diğer koşullar aranmaz.</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(2) Birinci fıkrada belirtilen koşulları taşıdığını 225 inci maddenin ikinci fıkrasının ilgili bentlerinde sayılan belgeler ile tevsik eden havayolu firmalarına Bakanlıkça basitleştirme izni verilebilir. Basitleştirme izni kapsamında hareket ve varış idaresinde yapılacak işlemler, izin sahibi asıl sorumlunun yükümlülükleri ve izne ilişkin diğer hususlar Bakanlıkça belirlenir.”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11 –</w:t>
                  </w:r>
                  <w:r>
                    <w:rPr>
                      <w:rFonts w:ascii="Times New Roman" w:hAnsi="Times New Roman" w:eastAsia="Times New Roman" w:cs="Times New Roman"/>
                      <w:sz w:val="18"/>
                      <w:szCs w:val="18"/>
                      <w:lang/>
                    </w:rPr>
                    <w:t> Aynı Yönetmeliğin 323 üncü maddesinin ikinci fıkrasının (c) bendi aşağıdaki şekilde değiştirilmiştir.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“c) 359 uncu maddenin birinci fıkrasında belirtilen işlem görmüş ikincil ürünlerin serbest dolaşıma giriş rejimine tabi tutulması durumunda,”</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12 –</w:t>
                  </w:r>
                  <w:r>
                    <w:rPr>
                      <w:rFonts w:ascii="Times New Roman" w:hAnsi="Times New Roman" w:eastAsia="Times New Roman" w:cs="Times New Roman"/>
                      <w:sz w:val="18"/>
                      <w:szCs w:val="18"/>
                      <w:lang/>
                    </w:rPr>
                    <w:t> Aynı Yönetmeliğin 333 üncü maddesine aşağıdaki fıkra eklenmiştir.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“(5) Devralanın onaylanmış kişi veya yetkilendirilmiş yükümlü statüsüne sahip olması ya da aşağıdaki koşulları taşıması ve ilgili Gümrük ve Ticaret Bölge Müdürlüklerince yıllık kontroller sonucunda (b) ile (ç) bentlerindeki koşulların sağlandığının tespit edilmesi halinde gümrük antrepolarında depolanan solvent ve bazyağın satış suretiyle devrinde birinci fıkranın ikinci cümlesi uygulanmaz:</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a) Devralan firmanın en az iki yıldır faaliyette bulunması.</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b) Usulsüzlük ve vergi cezaları ile ilgili olarak;</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1) Geriye dönük son bir yıl içinde işlem gören beyanname sayısının % 2’sini aşan sayıda vergi kaybına neden olan gümrük mevzuatı ihlali nedeniyle ceza uygulanmamış olması,</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2) Geriye dönük son bir yıl içinde işlem gören beyanname sayısının % 5’ini aşan sayıda gümrük mevzuatının ihlali nedeniyle usulsüzlük cezası uygulanmamış olması.</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c) Gümrük ve vergi mevzuatları uyarınca haklarında ödenmemiş herhangi bir vergi, ceza ve fer’i amme borcu bulunmaması.</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ç) Yönetim Kurulu üyeleri, sermayesinin yüzde onundan fazlasına sahip gerçek kişiler ile gümrük ve dış ticaret işlemlerinde temsil yetkisini haiz çalışanlarının; devletin güvenliğine karşı suçlar, anayasal düzene ve bu düzenin işleyişine karşı suçlar, devlet sırlarına karşı suçlar ve casusluk, zimmet, irtikâp, rüşvet, güveni kötüye kullanma, hırsızlık, dolandırıcılık, sahtecilik, inancı kötüye kullanma, hileli iflas, yalan tanıklık, suç uydurma ve iftira suçları ile ihaleye fesat karıştırma, edimin ifasına fesat karıştırma, suçtan kaynaklanan mal varlığı değerlerini aklama suçlarından mülga 1/3/1926 tarihli ve 765 sayılı Türk Ceza Kanunu ile 26/9/2004 tarihli ve 5237 sayılı Türk Ceza Kanununa, vergi kaçakçılığı veya vergi kaçakçılığına teşebbüs suçlarından 4/1/1961 tarihli ve 213 sayılı Vergi Usul Kanununa, mülga 7/1/1932 tarihli ve 1918 sayılı Kaçakçılığın Men ve Takibine Dair Kanuna, mülga 10/7/2003 tarihli ve 4926 sayılı Kaçakçılıkla Mücadele Kanununa, 21/3/2007 tarihli ve 5607 sayılı Kaçakçılıkla Mücadele Kanununa, 19/4/1990 tarihli ve 3628 sayılı Mal Bildiriminde Bulunulması, Rüşvet ve Yolsuzluklarla Mücadele Kanununa, 20/2/1930 tarihli ve 1567 sayılı Türk Parasının Kıymetini Koruma Hakkında Kanuna, 4/12/2003 tarihli ve 5015 sayılı Petrol Piyasası Kanununa, 11/10/2006 tarihli ve 5549 sayılı Suç Gelirlerinin Aklanmasının Önlenmesi Hakkında Kanuna, 12/6/1933 tarihli ve 2313 sayılı Uyuşturucu Maddelerin Murakabesi Hakkında Kanuna, 3/6/1986 tarihli ve 3298 sayılı Uyuşturucu Maddelerle ilgili Kanuna muhalefetten ceza veya mahkumiyet kararı bulunmaması.”</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13 –</w:t>
                  </w:r>
                  <w:r>
                    <w:rPr>
                      <w:rFonts w:ascii="Times New Roman" w:hAnsi="Times New Roman" w:eastAsia="Times New Roman" w:cs="Times New Roman"/>
                      <w:sz w:val="18"/>
                      <w:szCs w:val="18"/>
                      <w:lang/>
                    </w:rPr>
                    <w:t> Aynı Yönetmeliğin 476 ncı maddesinin birinci fıkrasında yer alan “farklı renkteki” ibaresi yürürlükten kaldırılmıştır.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14 –</w:t>
                  </w:r>
                  <w:r>
                    <w:rPr>
                      <w:rFonts w:ascii="Times New Roman" w:hAnsi="Times New Roman" w:eastAsia="Times New Roman" w:cs="Times New Roman"/>
                      <w:sz w:val="18"/>
                      <w:szCs w:val="18"/>
                      <w:lang/>
                    </w:rPr>
                    <w:t> Aynı Yönetmeliğin 512 nci maddesine aşağıdaki fıkra eklenmiştir.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“(5) 517 nci maddenin dördüncü fıkrasında sayılan kişilerin, geçici depolama yeri açma ve işletme izin başvuruları ile geçici depolama yeri devir başvuruları, birinci fıkrada sayılan fiillere ilişkin gümrük idaresince sürdürülen suistimal, yolsuzluk veya kaçakçılık kapsamında inceleme veya araştırmaya rastlanılması halinde inceleme veya araştırma sonuçlanıncaya kadar reddedilir.”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15 –</w:t>
                  </w:r>
                  <w:r>
                    <w:rPr>
                      <w:rFonts w:ascii="Times New Roman" w:hAnsi="Times New Roman" w:eastAsia="Times New Roman" w:cs="Times New Roman"/>
                      <w:sz w:val="18"/>
                      <w:szCs w:val="18"/>
                      <w:lang/>
                    </w:rPr>
                    <w:t> Aynı Yönetmeliğin 517 nci maddesinin üçüncü fıkrasında yer alan “üçüncü” ibaresi “sekizinci” olarak değiştirilmiş, dördüncü fıkrasının sonuna aşağıdaki cümle ile maddenin sonuna aşağıdaki fıkralar eklenmiştir.</w:t>
                  </w:r>
                </w:p>
                <w:p>
                  <w:pPr>
                    <w:spacing w:after="0" w:line="240" w:lineRule="atLeast"/>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“Bu süre geçtikten sonra, bu fıkrada sayılan kişilerin geçici depolama yeri açmak veya devralmak istemeleri halinde müracaatlar, ilgili bilgi, belge ve veriler dikkate alınarak Bakanlıkça sonuçlandırılır.”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“(5) Geçici depolama yeri işleticisinin taahhüt ve yükümlülüklerine aykırı hareket etmesi nedeniyle vergi kaybına neden olunması halinde geçici depolama izni geri alınabilir.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(6) Geçici depolama yerinde kaçakçılık gibi bir suistimal ve/veya yolsuzluk saptanması veya beşinci fıkrada belirtilen durum nedeniyle geçici depolama yeri açma ve işletme izni geri alınan kişilere, yeni bir geçici depolama yeri açma ve işletme izni verilmez.”</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16 –</w:t>
                  </w:r>
                  <w:r>
                    <w:rPr>
                      <w:rFonts w:ascii="Times New Roman" w:hAnsi="Times New Roman" w:eastAsia="Times New Roman" w:cs="Times New Roman"/>
                      <w:sz w:val="18"/>
                      <w:szCs w:val="18"/>
                      <w:lang/>
                    </w:rPr>
                    <w:t> Aynı Yönetmeliğin 518 inci maddesine aşağıdaki fıkra eklenmiştir.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“(5) Antrepo açma ve işletme yatırım izni, izin ve devir başvuruları, 519 uncu maddenin birinci fıkrasının (c) bendinde sayılan fiillere ilişkin gümrük idaresince sürdürülen suistimal, yolsuzluk veya kaçakçılık kapsamında bir inceleme veya araştırmaya rastlanılması halinde inceleme veya araştırma sonuçlanıncaya kadar reddedilir.”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17 –</w:t>
                  </w:r>
                  <w:r>
                    <w:rPr>
                      <w:rFonts w:ascii="Times New Roman" w:hAnsi="Times New Roman" w:eastAsia="Times New Roman" w:cs="Times New Roman"/>
                      <w:sz w:val="18"/>
                      <w:szCs w:val="18"/>
                      <w:lang/>
                    </w:rPr>
                    <w:t> Aynı Yönetmeliğin 525 inci maddesinin altıncı fıkrasının sonuna aşağıdaki cümle ile maddenin sonuna aşağıdaki fıkralar eklenmiştir.</w:t>
                  </w:r>
                </w:p>
                <w:p>
                  <w:pPr>
                    <w:spacing w:after="0" w:line="240" w:lineRule="atLeast"/>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“Bu süre geçtikten sonra, bu fıkrada sayılan kişilerin antrepo açmak veya devralmak istemeleri halinde; müracaatlar, ilgili bilgi, belge ve veriler dikkate alınarak Bakanlıkça sonuçlandırılır.”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“(8) Antrepo işleticisinin taahhüt ve yükümlülüklerine aykırı hareket etmesi nedeniyle vergi kaybına neden olunması halinde antrepo açma ve işletme izni geri alınabilir.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 (9) Antrepoda kaçakçılık gibi bir suistimal ve/veya yolsuzluk saptanması veya sekizinci fıkrada belirtilen durum nedeniyle antrepo açma ve işletme izni geri alınan kişilere, yeni bir antrepo açma ve işletme izni verilmez.”</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18 – </w:t>
                  </w:r>
                  <w:r>
                    <w:rPr>
                      <w:rFonts w:ascii="Times New Roman" w:hAnsi="Times New Roman" w:eastAsia="Times New Roman" w:cs="Times New Roman"/>
                      <w:sz w:val="18"/>
                      <w:szCs w:val="18"/>
                      <w:lang/>
                    </w:rPr>
                    <w:t>Aynı Yönetmeliğin 563 üncü maddesinin altıncı fıkrasının sonuna aşağıdaki cümleler eklenmiştir.</w:t>
                  </w:r>
                </w:p>
                <w:p>
                  <w:pPr>
                    <w:spacing w:after="0" w:line="240" w:lineRule="atLeast"/>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“Gümrük müşavir ve müşavir yardımcıları dışındaki kişiler, gümrük müşavirliği yapacak olan tüzel kişilere ortak olamayacakları gibi, yönetim organında da görev alamazlar. Gümrük müşavir ve müşavir yardımcıları dışındaki kişilere şirketi temsil ve ilzam yetkisi verilemez.”</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19 –</w:t>
                  </w:r>
                  <w:r>
                    <w:rPr>
                      <w:rFonts w:ascii="Times New Roman" w:hAnsi="Times New Roman" w:eastAsia="Times New Roman" w:cs="Times New Roman"/>
                      <w:sz w:val="18"/>
                      <w:szCs w:val="18"/>
                      <w:lang/>
                    </w:rPr>
                    <w:t> Aynı Yönetmeliğin Ek-46’sı yürürlükten kaldırılmış ve Ek-77’si ekteki şekilde değiştirilmiştir.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20 –</w:t>
                  </w:r>
                  <w:r>
                    <w:rPr>
                      <w:rFonts w:ascii="Times New Roman" w:hAnsi="Times New Roman" w:eastAsia="Times New Roman" w:cs="Times New Roman"/>
                      <w:sz w:val="18"/>
                      <w:szCs w:val="18"/>
                      <w:lang/>
                    </w:rPr>
                    <w:t> Bu Yönetmelik yayımı tarihinde yürürlüğe girer.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21 – </w:t>
                  </w:r>
                  <w:r>
                    <w:rPr>
                      <w:rFonts w:ascii="Times New Roman" w:hAnsi="Times New Roman" w:eastAsia="Times New Roman" w:cs="Times New Roman"/>
                      <w:sz w:val="18"/>
                      <w:szCs w:val="18"/>
                      <w:lang/>
                    </w:rPr>
                    <w:t>Bu Yönetmelik hükümlerini Gümrük ve Ticaret Bakanı yürütür.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 </w:t>
                  </w:r>
                </w:p>
                <w:p>
                  <w:pPr>
                    <w:spacing w:after="0" w:line="240" w:lineRule="atLeast"/>
                    <w:jc w:val="both"/>
                    <w:rPr>
                      <w:rFonts w:ascii="Times New Roman" w:hAnsi="Times New Roman" w:eastAsia="Times New Roman" w:cs="Times New Roman"/>
                      <w:sz w:val="19"/>
                      <w:szCs w:val="19"/>
                      <w:lang/>
                    </w:rPr>
                  </w:pPr>
                  <w:r>
                    <w:fldChar w:fldCharType="begin"/>
                  </w:r>
                  <w:r>
                    <w:instrText xml:space="preserve">HYPERLINK "http://www.resmigazete.gov.tr/eskiler/2016/01/20160122-1-1.pdf" </w:instrText>
                  </w:r>
                  <w:r>
                    <w:fldChar w:fldCharType="separate"/>
                  </w:r>
                  <w:r>
                    <w:rPr>
                      <w:rFonts w:ascii="Times New Roman" w:hAnsi="Times New Roman" w:eastAsia="Times New Roman" w:cs="Times New Roman"/>
                      <w:b/>
                      <w:bCs/>
                      <w:color w:val="800080"/>
                      <w:sz w:val="18"/>
                      <w:szCs w:val="18"/>
                      <w:lang/>
                    </w:rPr>
                    <w:t>Eki için tıklayınız</w:t>
                  </w:r>
                  <w:r>
                    <w:fldChar w:fldCharType="end"/>
                  </w:r>
                </w:p>
                <w:p>
                  <w:pPr>
                    <w:spacing w:before="100" w:beforeAutospacing="1" w:after="100" w:afterAutospacing="1" w:line="240" w:lineRule="auto"/>
                    <w:rPr>
                      <w:rFonts w:ascii="Times New Roman" w:hAnsi="Times New Roman" w:eastAsia="Times New Roman" w:cs="Times New Roman"/>
                      <w:sz w:val="24"/>
                      <w:szCs w:val="24"/>
                      <w:lang/>
                    </w:rPr>
                  </w:pPr>
                  <w:r>
                    <w:rPr>
                      <w:rFonts w:ascii="Arial" w:hAnsi="Arial" w:eastAsia="Times New Roman" w:cs="Arial"/>
                      <w:b/>
                      <w:bCs/>
                      <w:color w:val="000080"/>
                      <w:sz w:val="18"/>
                      <w:szCs w:val="18"/>
                      <w:lang/>
                    </w:rPr>
                    <w:t> </w:t>
                  </w:r>
                </w:p>
              </w:tc>
            </w:tr>
          </w:tbl>
          <w:p>
            <w:pPr>
              <w:spacing w:after="0" w:line="240" w:lineRule="auto"/>
              <w:rPr>
                <w:rFonts w:ascii="Times New Roman" w:hAnsi="Times New Roman" w:eastAsia="Times New Roman" w:cs="Times New Roman"/>
                <w:sz w:val="24"/>
                <w:szCs w:val="24"/>
                <w:lang/>
              </w:rPr>
            </w:pPr>
          </w:p>
        </w:tc>
      </w:tr>
    </w:tbl>
    <w:p>
      <w:pPr>
        <w:spacing w:after="0" w:line="240" w:lineRule="auto"/>
        <w:jc w:val="center"/>
        <w:rPr>
          <w:rFonts w:ascii="Times New Roman" w:hAnsi="Times New Roman" w:eastAsia="Times New Roman" w:cs="Times New Roman"/>
          <w:color w:val="000000"/>
          <w:sz w:val="27"/>
          <w:szCs w:val="27"/>
          <w:lang/>
        </w:rPr>
      </w:pPr>
      <w:r>
        <w:rPr>
          <w:rFonts w:ascii="Times New Roman" w:hAnsi="Times New Roman" w:eastAsia="Times New Roman" w:cs="Times New Roman"/>
          <w:color w:val="000000"/>
          <w:sz w:val="27"/>
          <w:szCs w:val="27"/>
          <w:lang/>
        </w:rPr>
        <w:t> </w:t>
      </w:r>
    </w:p>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00007A87" w:usb1="80000000" w:usb2="00000008" w:usb3="00000000" w:csb0="400001FF" w:csb1="FFFF0000"/>
  </w:font>
  <w:font w:name="宋体">
    <w:altName w:val="Times New Roman"/>
    <w:panose1 w:val="02010600030101010101"/>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A2"/>
    <w:family w:val="swiss"/>
    <w:pitch w:val="default"/>
    <w:sig w:usb0="00007A87" w:usb1="80000000" w:usb2="00000008"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SimSun">
    <w:altName w:val="SimHei"/>
    <w:panose1 w:val="02010600030101010101"/>
    <w:charset w:val="86"/>
    <w:family w:val="auto"/>
    <w:pitch w:val="default"/>
    <w:sig w:usb0="00000003" w:usb1="080E0000" w:usb2="00000000" w:usb3="00000000" w:csb0="00040001" w:csb1="00000000"/>
  </w:font>
  <w:font w:name="Calibri">
    <w:panose1 w:val="020F0502020204030204"/>
    <w:charset w:val="A2"/>
    <w:family w:val="auto"/>
    <w:pitch w:val="default"/>
    <w:sig w:usb0="A00002EF" w:usb1="4000207B" w:usb2="00000000" w:usb3="00000000" w:csb0="2000009F" w:csb1="00000000"/>
  </w:font>
  <w:font w:name="Palatino Linotype">
    <w:panose1 w:val="02040502050505030304"/>
    <w:charset w:val="A2"/>
    <w:family w:val="auto"/>
    <w:pitch w:val="default"/>
    <w:sig w:usb0="E00003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08"/>
  <w:drawingGridHorizontalSpacing w:val="0"/>
  <w:displayHorizontalDrawingGridEvery w:val="1"/>
  <w:displayVerticalDrawingGridEvery w:val="1"/>
  <w:characterSpacingControl w:val="doNotCompress"/>
  <w:compat>
    <w:spaceForUL/>
    <w:doNotLeaveBackslashAlone/>
    <w:ulTrailSpace/>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spacing w:after="160" w:line="259" w:lineRule="auto"/>
    </w:pPr>
    <w:rPr>
      <w:rFonts w:ascii="Calibri" w:hAnsi="Calibri" w:eastAsia="Calibri"/>
      <w:sz w:val="22"/>
      <w:szCs w:val="22"/>
      <w:lang w:eastAsia="en-US" w:bidi="ar-SA"/>
    </w:rPr>
  </w:style>
  <w:style w:type="character" w:default="1" w:styleId="3">
    <w:name w:val="Default Paragraph Font"/>
    <w:semiHidden/>
    <w:unhideWhenUsed/>
    <w:uiPriority w:val="1"/>
  </w:style>
  <w:style w:type="paragraph" w:styleId="2">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rPr>
  </w:style>
  <w:style w:type="character" w:styleId="4">
    <w:name w:val="Hyperlink"/>
    <w:basedOn w:val="3"/>
    <w:semiHidden/>
    <w:unhideWhenUsed/>
    <w:uiPriority w:val="99"/>
    <w:rPr>
      <w:color w:val="0000FF"/>
      <w:u w:val="single"/>
    </w:rPr>
  </w:style>
  <w:style w:type="paragraph" w:customStyle="1" w:styleId="5">
    <w:name w:val="balk11pt"/>
    <w:basedOn w:val="1"/>
    <w:uiPriority w:val="0"/>
    <w:pPr>
      <w:spacing w:before="100" w:beforeAutospacing="1" w:after="100" w:afterAutospacing="1" w:line="240" w:lineRule="auto"/>
    </w:pPr>
    <w:rPr>
      <w:rFonts w:ascii="Times New Roman" w:hAnsi="Times New Roman" w:eastAsia="Times New Roman" w:cs="Times New Roman"/>
      <w:sz w:val="24"/>
      <w:szCs w:val="24"/>
      <w:lang/>
    </w:rPr>
  </w:style>
  <w:style w:type="paragraph" w:customStyle="1" w:styleId="6">
    <w:name w:val="ortabalkbold"/>
    <w:basedOn w:val="1"/>
    <w:uiPriority w:val="0"/>
    <w:pPr>
      <w:spacing w:before="100" w:beforeAutospacing="1" w:after="100" w:afterAutospacing="1" w:line="240" w:lineRule="auto"/>
    </w:pPr>
    <w:rPr>
      <w:rFonts w:ascii="Times New Roman" w:hAnsi="Times New Roman" w:eastAsia="Times New Roman" w:cs="Times New Roman"/>
      <w:sz w:val="24"/>
      <w:szCs w:val="24"/>
      <w:lang/>
    </w:rPr>
  </w:style>
  <w:style w:type="paragraph" w:customStyle="1" w:styleId="7">
    <w:name w:val="metin"/>
    <w:basedOn w:val="1"/>
    <w:uiPriority w:val="0"/>
    <w:pPr>
      <w:spacing w:before="100" w:beforeAutospacing="1" w:after="100" w:afterAutospacing="1" w:line="240" w:lineRule="auto"/>
    </w:pPr>
    <w:rPr>
      <w:rFonts w:ascii="Times New Roman" w:hAnsi="Times New Roman" w:eastAsia="Times New Roman" w:cs="Times New Roman"/>
      <w:sz w:val="24"/>
      <w:szCs w:val="24"/>
      <w:lang/>
    </w:rPr>
  </w:style>
  <w:style w:type="character" w:customStyle="1" w:styleId="8">
    <w:name w:val="apple-converted-space"/>
    <w:basedOn w:val="3"/>
    <w:uiPriority w:val="0"/>
    <w:rPr/>
  </w:style>
  <w:style w:type="character" w:customStyle="1" w:styleId="9">
    <w:name w:val="grame"/>
    <w:basedOn w:val="3"/>
    <w:uiPriority w:val="0"/>
    <w:rPr/>
  </w:style>
  <w:style w:type="character" w:customStyle="1" w:styleId="10">
    <w:name w:val="spelle"/>
    <w:basedOn w:val="3"/>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1983</Words>
  <Characters>11304</Characters>
  <Lines>94</Lines>
  <Paragraphs>26</Paragraphs>
  <ScaleCrop>false</ScaleCrop>
  <LinksUpToDate>false</LinksUpToDate>
  <CharactersWithSpaces>0</CharactersWithSpaces>
  <Application>WPS Office_9.1.0.4758_{F1E327BC-269C-435d-A152-05C5408002CA}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2016-01-25T07:31:00Z</dcterms:created>
  <dc:creator>Erman Ereke</dc:creator>
  <cp:lastModifiedBy>Administrator</cp:lastModifiedBy>
  <dcterms:modified xsi:type="dcterms:W3CDTF">2016-01-25T14:37:20Z</dcterms:modified>
  <dc:title>22 Ocak 2016 CUMA</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