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59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5"/>
        <w:gridCol w:w="5529"/>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5" w:type="dxa"/>
            <w:vAlign w:val="top"/>
          </w:tcPr>
          <w:p>
            <w:pPr>
              <w:jc w:val="center"/>
              <w:rPr>
                <w:b/>
              </w:rPr>
            </w:pPr>
            <w:bookmarkStart w:id="30" w:name="_GoBack"/>
            <w:r>
              <w:rPr>
                <w:b/>
              </w:rPr>
              <w:t>KTY ESKİ</w:t>
            </w:r>
            <w:bookmarkEnd w:id="30"/>
          </w:p>
        </w:tc>
        <w:tc>
          <w:tcPr>
            <w:tcW w:w="5529" w:type="dxa"/>
            <w:vAlign w:val="top"/>
          </w:tcPr>
          <w:p>
            <w:pPr>
              <w:jc w:val="center"/>
              <w:rPr>
                <w:b/>
              </w:rPr>
            </w:pPr>
            <w:r>
              <w:rPr>
                <w:b/>
              </w:rPr>
              <w:t>KTY DEĞİŞİKLİKLER</w:t>
            </w:r>
          </w:p>
        </w:tc>
        <w:tc>
          <w:tcPr>
            <w:tcW w:w="4819" w:type="dxa"/>
            <w:vAlign w:val="top"/>
          </w:tcPr>
          <w:p>
            <w:pPr>
              <w:jc w:val="center"/>
              <w:rPr>
                <w:b/>
              </w:rPr>
            </w:pPr>
            <w:r>
              <w:rPr>
                <w:b/>
              </w:rPr>
              <w:t>DEĞİŞİKLİK AÇIKLAMALARI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5" w:type="dxa"/>
            <w:vAlign w:val="top"/>
          </w:tcPr>
          <w:p>
            <w:pPr>
              <w:pStyle w:val="2"/>
              <w:spacing w:before="120" w:line="360" w:lineRule="auto"/>
              <w:ind w:firstLine="709"/>
              <w:outlineLvl w:val="1"/>
              <w:rPr>
                <w:bCs/>
                <w:sz w:val="24"/>
                <w:szCs w:val="24"/>
              </w:rPr>
            </w:pPr>
            <w:bookmarkStart w:id="0" w:name="_Toc226279772"/>
            <w:bookmarkStart w:id="1" w:name="_Toc232566715"/>
            <w:r>
              <w:rPr>
                <w:bCs/>
                <w:sz w:val="24"/>
                <w:szCs w:val="24"/>
              </w:rPr>
              <w:t>Tanımlar</w:t>
            </w:r>
            <w:bookmarkEnd w:id="0"/>
            <w:bookmarkEnd w:id="1"/>
            <w:r>
              <w:rPr>
                <w:bCs/>
                <w:sz w:val="24"/>
                <w:szCs w:val="24"/>
              </w:rPr>
              <w:t xml:space="preserve"> </w:t>
            </w:r>
          </w:p>
          <w:p>
            <w:pPr>
              <w:pStyle w:val="8"/>
              <w:jc w:val="both"/>
              <w:rPr>
                <w:b/>
                <w:bCs/>
              </w:rPr>
            </w:pPr>
            <w:r>
              <w:rPr>
                <w:b/>
                <w:bCs/>
              </w:rPr>
              <w:t xml:space="preserve">MADDE 4: </w:t>
            </w:r>
          </w:p>
          <w:p>
            <w:pPr>
              <w:pStyle w:val="8"/>
              <w:jc w:val="both"/>
              <w:rPr>
                <w:b/>
                <w:bCs/>
              </w:rPr>
            </w:pPr>
          </w:p>
          <w:p>
            <w:pPr>
              <w:pStyle w:val="8"/>
              <w:ind w:left="-113"/>
              <w:jc w:val="both"/>
            </w:pPr>
            <w:r>
              <w:t>ii) Sözleşmeli taşıt: Yetki belgesi sahibinin noterden yapılmış bir taşıma geliri paylaşımı veya kira sözleşmesine dayanarak, kendi unvan ve sorumluluğu altında çalıştıracağı başkasına ait taşıtı,</w:t>
            </w:r>
          </w:p>
          <w:p>
            <w:pPr>
              <w:jc w:val="both"/>
            </w:pPr>
          </w:p>
          <w:p>
            <w:pPr>
              <w:jc w:val="both"/>
            </w:pPr>
          </w:p>
          <w:p>
            <w:pPr>
              <w:jc w:val="both"/>
            </w:pPr>
          </w:p>
          <w:p>
            <w:pPr>
              <w:jc w:val="both"/>
            </w:pPr>
          </w:p>
          <w:p>
            <w:pPr>
              <w:jc w:val="both"/>
            </w:pPr>
            <w:r>
              <w:rPr>
                <w:b/>
              </w:rPr>
              <w:t xml:space="preserve">ss) Taşıma işleri organizatörü: </w:t>
            </w:r>
            <w:r>
              <w:t>Kanun, bu Yönetmelik ve ilgili diğer mevzuatın taşımacılık sıfatı ile faaliyet gösterenlere getirdikleri yükümlülük ve sorumluluklar çerçevesinde taşımacı kabul edilerek, bu Yönetmeliğe göre eşya taşımacılığı alanında yetki belgesi almış gerçek ve tüzel kişilerin imkan, kabiliyet ve kapasiteleri ile gerektiğinde diğer taşıma türlerinden de yararlanarak veya bunları kullanarak kombine taşımacılık dahil kendi nam ve hesabına eşya taşıması yaptırarak taşıma faturası düzenleyen gerçek ve tüzel kişileri</w:t>
            </w:r>
          </w:p>
        </w:tc>
        <w:tc>
          <w:tcPr>
            <w:tcW w:w="5529" w:type="dxa"/>
            <w:vAlign w:val="top"/>
          </w:tcPr>
          <w:p>
            <w:pPr>
              <w:pStyle w:val="2"/>
              <w:spacing w:before="120" w:line="360" w:lineRule="auto"/>
              <w:outlineLvl w:val="1"/>
              <w:rPr>
                <w:bCs/>
                <w:sz w:val="24"/>
                <w:szCs w:val="24"/>
              </w:rPr>
            </w:pPr>
            <w:r>
              <w:rPr>
                <w:bCs/>
                <w:sz w:val="24"/>
                <w:szCs w:val="24"/>
              </w:rPr>
              <w:t xml:space="preserve">Tanımlar </w:t>
            </w:r>
          </w:p>
          <w:p>
            <w:r>
              <w:rPr>
                <w:b/>
                <w:bCs/>
              </w:rPr>
              <w:t>MADDE 4:</w:t>
            </w:r>
          </w:p>
          <w:p>
            <w:pPr>
              <w:jc w:val="center"/>
            </w:pPr>
          </w:p>
          <w:p>
            <w:pPr>
              <w:spacing w:line="240" w:lineRule="atLeast"/>
              <w:jc w:val="both"/>
              <w:rPr>
                <w:color w:val="C00000"/>
                <w:sz w:val="22"/>
                <w:szCs w:val="19"/>
              </w:rPr>
            </w:pPr>
            <w:r>
              <w:rPr>
                <w:color w:val="C00000"/>
                <w:sz w:val="22"/>
                <w:szCs w:val="18"/>
              </w:rPr>
              <w:t>“ii) Sözleşmeli taşıt: Yetki belgesi sahibinin kendi unvan ve sorumluluğu altında çalıştırmak üzere, noterden yapılmış sözleşmeyle temin ettiği başkasına ait taşıtı veya 21/11/2012 tarihli ve 6361 sayılı Finansal Kiralama, Faktoring ve Finansman Şirketleri Kanunu kapsamında yetki belgesi sahibinin doğrudan kiracı olarak tarafı olduğu bir finansal kiralama sözleşmesi yoluyla temin ettiği taşıtı,”</w:t>
            </w:r>
          </w:p>
          <w:p>
            <w:pPr>
              <w:rPr>
                <w:color w:val="C00000"/>
              </w:rPr>
            </w:pPr>
          </w:p>
          <w:p>
            <w:pPr>
              <w:spacing w:line="240" w:lineRule="atLeast"/>
              <w:ind w:firstLine="566"/>
              <w:jc w:val="both"/>
              <w:rPr>
                <w:color w:val="002060"/>
                <w:sz w:val="22"/>
                <w:szCs w:val="19"/>
              </w:rPr>
            </w:pPr>
            <w:r>
              <w:rPr>
                <w:b/>
                <w:color w:val="C00000"/>
                <w:sz w:val="22"/>
                <w:szCs w:val="18"/>
              </w:rPr>
              <w:t>“ss) Taşıma işleri organizatörü:</w:t>
            </w:r>
            <w:r>
              <w:rPr>
                <w:color w:val="C00000"/>
                <w:sz w:val="22"/>
                <w:szCs w:val="18"/>
              </w:rPr>
              <w:t xml:space="preserve"> Kanun, bu Yönetmelik ve ilgili diğer mevzuatın taşımacılık sıfatı ile faaliyet gösterenlere getirdikleri yükümlülük ve sorumluluklar çerçevesinde taşımacı kabul edilerek, bu Yönetmeliğe göre eşya taşımacılığı alanında yetki belgesi almış gerçek ve tüzel kişiler ile </w:t>
            </w:r>
            <w:r>
              <w:rPr>
                <w:color w:val="C00000"/>
                <w:sz w:val="22"/>
                <w:szCs w:val="18"/>
                <w:u w:val="single"/>
              </w:rPr>
              <w:t xml:space="preserve">uluslararası anlaşmalara uygun olmak şartıyla, eşya taşımacılığı alanında faaliyet gösteren yabancı plakalı taşıtların </w:t>
            </w:r>
            <w:r>
              <w:rPr>
                <w:color w:val="C00000"/>
                <w:sz w:val="22"/>
                <w:szCs w:val="18"/>
              </w:rPr>
              <w:t>imkan, kabiliyet ve kapasiteleri ile gerektiğinde diğer taşıma türlerinden de yararlanarak veya bunları kullanarak kombine taşımacılık dahil kendi nam ve hesabına eşya taşıması yaptırarak taşıma faturası düzenleyen gerçek ve tüzel kişileri,”</w:t>
            </w:r>
          </w:p>
          <w:p/>
        </w:tc>
        <w:tc>
          <w:tcPr>
            <w:tcW w:w="4819" w:type="dxa"/>
            <w:vAlign w:val="top"/>
          </w:tcPr>
          <w:p>
            <w:pPr>
              <w:pStyle w:val="2"/>
              <w:spacing w:before="120" w:line="360" w:lineRule="auto"/>
              <w:outlineLvl w:val="1"/>
              <w:rPr>
                <w:b w:val="0"/>
                <w:bCs/>
                <w:sz w:val="24"/>
                <w:szCs w:val="24"/>
              </w:rPr>
            </w:pPr>
            <w:r>
              <w:rPr>
                <w:b w:val="0"/>
                <w:bCs/>
                <w:sz w:val="24"/>
                <w:szCs w:val="24"/>
              </w:rPr>
              <w:t xml:space="preserve">Tanımlar genişletilmiştir.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5" w:type="dxa"/>
            <w:vAlign w:val="top"/>
          </w:tcPr>
          <w:p>
            <w:pPr>
              <w:spacing w:line="360" w:lineRule="auto"/>
              <w:rPr>
                <w:b/>
                <w:bCs/>
              </w:rPr>
            </w:pPr>
            <w:r>
              <w:rPr>
                <w:b/>
                <w:bCs/>
              </w:rPr>
              <w:t xml:space="preserve">Yetki belgesi almanın veya yenilemenin genel şartları </w:t>
            </w:r>
          </w:p>
          <w:p>
            <w:pPr>
              <w:pStyle w:val="8"/>
              <w:rPr>
                <w:rFonts w:eastAsia="ヒラギノ明朝 Pro W3"/>
              </w:rPr>
            </w:pPr>
            <w:r>
              <w:rPr>
                <w:b/>
                <w:bCs/>
              </w:rPr>
              <w:t>MADDE 12</w:t>
            </w:r>
            <w:r>
              <w:t xml:space="preserve"> –</w:t>
            </w:r>
          </w:p>
          <w:p>
            <w:pPr>
              <w:pStyle w:val="8"/>
              <w:rPr>
                <w:rFonts w:eastAsia="ヒラギノ明朝 Pro W3"/>
              </w:rPr>
            </w:pPr>
            <w:r>
              <w:rPr>
                <w:rFonts w:eastAsia="ヒラギノ明朝 Pro W3"/>
              </w:rPr>
              <w:t xml:space="preserve"> (2) Yetki belgesini yenilemek isteyen yetki belgesi sahiplerinin yetki belgelerinin geçerlilik süresince karayolu taşımacılık faaliyetlerinin icrası ile ilgili olarak;</w:t>
            </w:r>
          </w:p>
          <w:p>
            <w:pPr>
              <w:pStyle w:val="8"/>
              <w:rPr>
                <w:rFonts w:eastAsia="ヒラギノ明朝 Pro W3"/>
              </w:rPr>
            </w:pPr>
            <w:r>
              <w:rPr>
                <w:rFonts w:eastAsia="ヒラギノ明朝 Pro W3"/>
              </w:rPr>
              <w:t>a) Çalışanların ücret ve çalışma şartlarına,</w:t>
            </w:r>
          </w:p>
          <w:p>
            <w:pPr>
              <w:pStyle w:val="8"/>
              <w:rPr>
                <w:rFonts w:eastAsia="ヒラギノ明朝 Pro W3"/>
              </w:rPr>
            </w:pPr>
            <w:r>
              <w:rPr>
                <w:rFonts w:eastAsia="ヒラギノ明朝 Pro W3"/>
              </w:rPr>
              <w:t>b) Şoförlerin çalışma ve dinlenme sürelerine,</w:t>
            </w:r>
          </w:p>
          <w:p>
            <w:pPr>
              <w:pStyle w:val="8"/>
              <w:rPr>
                <w:rFonts w:eastAsia="ヒラギノ明朝 Pro W3"/>
              </w:rPr>
            </w:pPr>
            <w:r>
              <w:rPr>
                <w:rFonts w:eastAsia="ヒラギノ明朝 Pro W3"/>
              </w:rPr>
              <w:t>c) Araçların ağırlık ve boyutlarına,</w:t>
            </w:r>
          </w:p>
          <w:p>
            <w:pPr>
              <w:pStyle w:val="8"/>
              <w:rPr>
                <w:rFonts w:eastAsia="ヒラギノ明朝 Pro W3"/>
              </w:rPr>
            </w:pPr>
            <w:r>
              <w:rPr>
                <w:rFonts w:eastAsia="ヒラギノ明朝 Pro W3"/>
              </w:rPr>
              <w:t>ç) Yol ve araç güvenliğine,</w:t>
            </w:r>
          </w:p>
          <w:p>
            <w:pPr>
              <w:pStyle w:val="8"/>
              <w:rPr>
                <w:rFonts w:eastAsia="ヒラギノ明朝 Pro W3"/>
              </w:rPr>
            </w:pPr>
            <w:r>
              <w:rPr>
                <w:rFonts w:eastAsia="ヒラギノ明朝 Pro W3"/>
              </w:rPr>
              <w:t>d) Çevrenin korunmasına,</w:t>
            </w:r>
          </w:p>
          <w:p>
            <w:pPr>
              <w:pStyle w:val="8"/>
              <w:rPr>
                <w:rFonts w:eastAsia="ヒラギノ明朝 Pro W3"/>
              </w:rPr>
            </w:pPr>
            <w:r>
              <w:rPr>
                <w:rFonts w:eastAsia="ヒラギノ明朝 Pro W3"/>
              </w:rPr>
              <w:t>e) Mesleki yeterlilik şartlarına,</w:t>
            </w:r>
          </w:p>
          <w:p>
            <w:pPr>
              <w:pStyle w:val="8"/>
              <w:rPr>
                <w:rFonts w:eastAsia="ヒラギノ明朝 Pro W3"/>
              </w:rPr>
            </w:pPr>
            <w:r>
              <w:rPr>
                <w:rFonts w:eastAsia="ヒラギノ明朝 Pro W3"/>
              </w:rPr>
              <w:t>ilişkin kurallardan; (a), (d) ve (e) bentlerine karşı toplam 15 kez; taşıt belgelerinde kayıtlı taşıtlarından herhangi birinin (c) ve (ç) bentlerine karşı toplam 10 kez, çalıştırdığı şoförlerin herhangi birinin (b) bendine karşı toplam 10 kez kusur işlemesinden dolayı idari para cezasına maruz kalmamış olmak sureti ile mesleki saygınlığa sahip olmaları gerekir.</w:t>
            </w:r>
          </w:p>
          <w:p>
            <w:pPr>
              <w:pStyle w:val="8"/>
              <w:jc w:val="both"/>
            </w:pPr>
          </w:p>
        </w:tc>
        <w:tc>
          <w:tcPr>
            <w:tcW w:w="5529" w:type="dxa"/>
            <w:vAlign w:val="top"/>
          </w:tcPr>
          <w:p>
            <w:pPr>
              <w:spacing w:line="360" w:lineRule="auto"/>
              <w:rPr>
                <w:b/>
                <w:bCs/>
              </w:rPr>
            </w:pPr>
            <w:r>
              <w:rPr>
                <w:b/>
                <w:bCs/>
              </w:rPr>
              <w:t xml:space="preserve">Yetki belgesi almanın veya yenilemenin genel şartları </w:t>
            </w:r>
          </w:p>
          <w:p>
            <w:pPr>
              <w:spacing w:line="240" w:lineRule="atLeast"/>
              <w:jc w:val="both"/>
              <w:rPr>
                <w:color w:val="002060"/>
                <w:sz w:val="22"/>
                <w:szCs w:val="18"/>
              </w:rPr>
            </w:pPr>
            <w:r>
              <w:rPr>
                <w:b/>
                <w:bCs/>
              </w:rPr>
              <w:t>MADDE 12</w:t>
            </w:r>
            <w:r>
              <w:t xml:space="preserve"> –</w:t>
            </w:r>
          </w:p>
          <w:p>
            <w:pPr>
              <w:spacing w:line="240" w:lineRule="atLeast"/>
              <w:ind w:firstLine="566"/>
              <w:jc w:val="both"/>
              <w:rPr>
                <w:color w:val="C00000"/>
                <w:sz w:val="22"/>
                <w:szCs w:val="18"/>
              </w:rPr>
            </w:pPr>
            <w:r>
              <w:rPr>
                <w:color w:val="C00000"/>
                <w:sz w:val="22"/>
                <w:szCs w:val="18"/>
              </w:rPr>
              <w:t>“(2) Yetki belgesi sahiplerinin yetki belgelerinin geçerlilik süresince karayolu taşımacılık faaliyetlerinin icrası ile ilgili olarak;</w:t>
            </w:r>
          </w:p>
          <w:p>
            <w:pPr>
              <w:spacing w:line="240" w:lineRule="atLeast"/>
              <w:ind w:firstLine="566"/>
              <w:jc w:val="both"/>
              <w:rPr>
                <w:color w:val="C00000"/>
                <w:sz w:val="22"/>
                <w:szCs w:val="18"/>
              </w:rPr>
            </w:pPr>
            <w:r>
              <w:rPr>
                <w:color w:val="C00000"/>
                <w:sz w:val="22"/>
                <w:szCs w:val="18"/>
              </w:rPr>
              <w:t>a) Çalışanların ücret ve çalışma şartlarına,</w:t>
            </w:r>
          </w:p>
          <w:p>
            <w:pPr>
              <w:spacing w:line="240" w:lineRule="atLeast"/>
              <w:ind w:firstLine="566"/>
              <w:jc w:val="both"/>
              <w:rPr>
                <w:color w:val="C00000"/>
                <w:sz w:val="22"/>
                <w:szCs w:val="18"/>
              </w:rPr>
            </w:pPr>
            <w:r>
              <w:rPr>
                <w:color w:val="C00000"/>
                <w:sz w:val="22"/>
                <w:szCs w:val="18"/>
              </w:rPr>
              <w:t>b) Şoförlerin çalışma ve dinlenme sürelerine,</w:t>
            </w:r>
          </w:p>
          <w:p>
            <w:pPr>
              <w:spacing w:line="240" w:lineRule="atLeast"/>
              <w:ind w:firstLine="566"/>
              <w:jc w:val="both"/>
              <w:rPr>
                <w:color w:val="C00000"/>
                <w:sz w:val="22"/>
                <w:szCs w:val="18"/>
              </w:rPr>
            </w:pPr>
            <w:r>
              <w:rPr>
                <w:color w:val="C00000"/>
                <w:sz w:val="22"/>
                <w:szCs w:val="18"/>
              </w:rPr>
              <w:t>c) Araçların ağırlık ve boyutlarına,</w:t>
            </w:r>
          </w:p>
          <w:p>
            <w:pPr>
              <w:spacing w:line="240" w:lineRule="atLeast"/>
              <w:ind w:firstLine="566"/>
              <w:jc w:val="both"/>
              <w:rPr>
                <w:color w:val="C00000"/>
                <w:sz w:val="22"/>
                <w:szCs w:val="18"/>
              </w:rPr>
            </w:pPr>
            <w:r>
              <w:rPr>
                <w:color w:val="C00000"/>
                <w:sz w:val="22"/>
                <w:szCs w:val="18"/>
              </w:rPr>
              <w:t>ç) Yol ve araç güvenliğine,</w:t>
            </w:r>
          </w:p>
          <w:p>
            <w:pPr>
              <w:spacing w:line="240" w:lineRule="atLeast"/>
              <w:ind w:firstLine="566"/>
              <w:jc w:val="both"/>
              <w:rPr>
                <w:color w:val="C00000"/>
                <w:sz w:val="22"/>
                <w:szCs w:val="18"/>
              </w:rPr>
            </w:pPr>
            <w:r>
              <w:rPr>
                <w:color w:val="C00000"/>
                <w:sz w:val="22"/>
                <w:szCs w:val="18"/>
              </w:rPr>
              <w:t>d) Çevrenin korunmasına,</w:t>
            </w:r>
          </w:p>
          <w:p>
            <w:pPr>
              <w:spacing w:line="240" w:lineRule="atLeast"/>
              <w:ind w:firstLine="566"/>
              <w:jc w:val="both"/>
              <w:rPr>
                <w:color w:val="C00000"/>
                <w:sz w:val="22"/>
                <w:szCs w:val="18"/>
              </w:rPr>
            </w:pPr>
            <w:r>
              <w:rPr>
                <w:color w:val="C00000"/>
                <w:sz w:val="22"/>
                <w:szCs w:val="18"/>
              </w:rPr>
              <w:t>e) Mesleki yeterlilik şartlarına,</w:t>
            </w:r>
          </w:p>
          <w:p>
            <w:pPr>
              <w:spacing w:line="240" w:lineRule="atLeast"/>
              <w:ind w:firstLine="566"/>
              <w:jc w:val="both"/>
              <w:rPr>
                <w:color w:val="C00000"/>
                <w:sz w:val="22"/>
                <w:szCs w:val="18"/>
              </w:rPr>
            </w:pPr>
            <w:r>
              <w:rPr>
                <w:color w:val="C00000"/>
                <w:sz w:val="22"/>
                <w:szCs w:val="18"/>
              </w:rPr>
              <w:t>uymak sureti ile mesleki saygınlığa sahip olmaları gerekir.”</w:t>
            </w:r>
          </w:p>
          <w:p>
            <w:pPr>
              <w:spacing w:line="240" w:lineRule="atLeast"/>
              <w:jc w:val="both"/>
              <w:rPr>
                <w:sz w:val="22"/>
              </w:rPr>
            </w:pPr>
          </w:p>
        </w:tc>
        <w:tc>
          <w:tcPr>
            <w:tcW w:w="4819" w:type="dxa"/>
            <w:vAlign w:val="top"/>
          </w:tcPr>
          <w:p>
            <w:pPr>
              <w:pStyle w:val="8"/>
            </w:pPr>
            <w:r>
              <w:t xml:space="preserve">Madde kapsamındaki gerekliliklerdeki ihlal adetlerine ilişkin hükümler kaldırılmıştır.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5" w:type="dxa"/>
            <w:vAlign w:val="top"/>
          </w:tcPr>
          <w:p>
            <w:pPr>
              <w:pStyle w:val="8"/>
              <w:rPr>
                <w:b/>
              </w:rPr>
            </w:pPr>
            <w:bookmarkStart w:id="2" w:name="_Toc226279790"/>
            <w:bookmarkStart w:id="3" w:name="_Toc232566733"/>
            <w:r>
              <w:rPr>
                <w:b/>
              </w:rPr>
              <w:t>Yetki belgesi alanların faaliyete başlama ve ara vermeleri</w:t>
            </w:r>
            <w:bookmarkEnd w:id="2"/>
            <w:bookmarkEnd w:id="3"/>
          </w:p>
          <w:p>
            <w:pPr>
              <w:pStyle w:val="8"/>
            </w:pPr>
            <w:r>
              <w:rPr>
                <w:b/>
              </w:rPr>
              <w:t>MADDE 17-</w:t>
            </w:r>
            <w:r>
              <w:t xml:space="preserve"> (1) Yetki belgesi sahiplerinin, yetki belgesinin verilmesinden itibaren 6 ay içinde faaliyete başlamaları şarttır.</w:t>
            </w:r>
          </w:p>
          <w:p>
            <w:pPr>
              <w:pStyle w:val="8"/>
            </w:pPr>
            <w:r>
              <w:t xml:space="preserve">(2) Yetki belgesi sahipleri, yetki belgesinin geçerlilik süresi boyunca faaliyetine sürekli olarak 1 yıldan fazla ara veremezler. </w:t>
            </w:r>
          </w:p>
          <w:p/>
        </w:tc>
        <w:tc>
          <w:tcPr>
            <w:tcW w:w="5529" w:type="dxa"/>
            <w:vAlign w:val="top"/>
          </w:tcPr>
          <w:p>
            <w:pPr>
              <w:pStyle w:val="8"/>
              <w:rPr>
                <w:b/>
              </w:rPr>
            </w:pPr>
            <w:r>
              <w:rPr>
                <w:b/>
              </w:rPr>
              <w:t>Yetki belgesi alanların faaliyete başlama ve ara vermeleri</w:t>
            </w:r>
          </w:p>
          <w:p>
            <w:pPr>
              <w:pStyle w:val="8"/>
            </w:pPr>
            <w:r>
              <w:rPr>
                <w:b/>
              </w:rPr>
              <w:t>MADDE 17-</w:t>
            </w:r>
            <w:r>
              <w:t xml:space="preserve"> (1) Yetki belgesi sahiplerinin, yetki belgesinin verilmesinden itibaren 6 ay içinde faaliyete başlamaları şarttır.</w:t>
            </w:r>
          </w:p>
          <w:p>
            <w:pPr>
              <w:pStyle w:val="8"/>
            </w:pPr>
            <w:r>
              <w:t>(2) Yetki belgesi sahipleri, yetki belgesinin geçerlilik süresi boyunca faaliyetine sürekli olarak 1 yıldan fazla ara veremezler.</w:t>
            </w:r>
          </w:p>
          <w:p>
            <w:pPr>
              <w:pStyle w:val="8"/>
              <w:jc w:val="both"/>
              <w:rPr>
                <w:color w:val="C00000"/>
                <w:sz w:val="19"/>
                <w:szCs w:val="19"/>
              </w:rPr>
            </w:pPr>
            <w:r>
              <w:rPr>
                <w:color w:val="C00000"/>
              </w:rPr>
              <w:t>“(3) Birinci ve ikinci fıkralarda yer alan süreler, bu Yönetmeliğin diğer maddelerinde yer alan süreleri uzatmaz veya kısaltmaz.”</w:t>
            </w:r>
          </w:p>
          <w:p>
            <w:pPr>
              <w:pStyle w:val="8"/>
            </w:pPr>
            <w:r>
              <w:t xml:space="preserve"> </w:t>
            </w:r>
          </w:p>
          <w:p>
            <w:pPr>
              <w:spacing w:line="240" w:lineRule="atLeast"/>
              <w:ind w:firstLine="566"/>
              <w:jc w:val="both"/>
              <w:rPr>
                <w:sz w:val="22"/>
              </w:rPr>
            </w:pPr>
          </w:p>
        </w:tc>
        <w:tc>
          <w:tcPr>
            <w:tcW w:w="4819" w:type="dxa"/>
            <w:vAlign w:val="top"/>
          </w:tcPr>
          <w:p>
            <w:pPr>
              <w:pStyle w:val="8"/>
            </w:pPr>
            <w:r>
              <w:t xml:space="preserve">Maddeye 3 üncü fıkra eklenmiştir.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5" w:type="dxa"/>
            <w:vAlign w:val="top"/>
          </w:tcPr>
          <w:p>
            <w:pPr>
              <w:pStyle w:val="2"/>
              <w:spacing w:before="120" w:line="360" w:lineRule="auto"/>
              <w:ind w:firstLine="709"/>
              <w:outlineLvl w:val="1"/>
              <w:rPr>
                <w:bCs/>
                <w:sz w:val="24"/>
                <w:szCs w:val="24"/>
              </w:rPr>
            </w:pPr>
            <w:bookmarkStart w:id="4" w:name="_Toc226279791"/>
            <w:bookmarkStart w:id="5" w:name="_Toc232566734"/>
            <w:r>
              <w:rPr>
                <w:bCs/>
                <w:sz w:val="24"/>
                <w:szCs w:val="24"/>
              </w:rPr>
              <w:t>Yetki belgelerinin yenilenmesi süreci</w:t>
            </w:r>
            <w:bookmarkEnd w:id="4"/>
            <w:bookmarkEnd w:id="5"/>
          </w:p>
          <w:p>
            <w:r>
              <w:rPr>
                <w:b/>
              </w:rPr>
              <w:t xml:space="preserve">MADDE 18- </w:t>
            </w:r>
            <w:r>
              <w:rPr>
                <w:rFonts w:eastAsia="ヒラギノ明朝 Pro W3"/>
              </w:rPr>
              <w:t>(5) Yetki belgesi üzerinde bulunan kalıcı hale gelmemiş tüm uyarmalar kaldırılmadan ve yenilenecek yetki belgesi için bu Yönetmelikte öngörülen şartlar sağlanmadan yetki belgesi yenilenmez.  Kalıcı hale gelmiş tüm uyarmalar ise yenilenen yetki belgesi için aynı sayıda kalıcı uyarma olarak geçerli olur.</w:t>
            </w:r>
          </w:p>
        </w:tc>
        <w:tc>
          <w:tcPr>
            <w:tcW w:w="5529" w:type="dxa"/>
            <w:vAlign w:val="top"/>
          </w:tcPr>
          <w:p>
            <w:pPr>
              <w:pStyle w:val="2"/>
              <w:spacing w:before="120" w:line="360" w:lineRule="auto"/>
              <w:ind w:firstLine="709"/>
              <w:outlineLvl w:val="1"/>
              <w:rPr>
                <w:bCs/>
                <w:sz w:val="24"/>
                <w:szCs w:val="24"/>
              </w:rPr>
            </w:pPr>
            <w:r>
              <w:rPr>
                <w:bCs/>
                <w:sz w:val="24"/>
                <w:szCs w:val="24"/>
              </w:rPr>
              <w:t>Yetki belgelerinin yenilenmesi süreci</w:t>
            </w:r>
          </w:p>
          <w:p>
            <w:pPr>
              <w:spacing w:line="240" w:lineRule="atLeast"/>
              <w:ind w:firstLine="566"/>
              <w:jc w:val="both"/>
              <w:rPr>
                <w:color w:val="C00000"/>
              </w:rPr>
            </w:pPr>
            <w:r>
              <w:rPr>
                <w:b/>
              </w:rPr>
              <w:t>MADDE 18</w:t>
            </w:r>
            <w:r>
              <w:rPr>
                <w:color w:val="C00000"/>
              </w:rPr>
              <w:t>-“(5) Yetki belgesi üzerinde bulunan tüm uyarmalar kaldırılmadan ve yenilenecek yetki belgesi için bu Yönetmelikte öngörülen şartlar sağlanmadan yetki belgesi yenilenmez.”</w:t>
            </w:r>
          </w:p>
          <w:p/>
        </w:tc>
        <w:tc>
          <w:tcPr>
            <w:tcW w:w="4819" w:type="dxa"/>
            <w:vAlign w:val="top"/>
          </w:tcPr>
          <w:p>
            <w:pPr>
              <w:pStyle w:val="8"/>
              <w:jc w:val="both"/>
            </w:pPr>
          </w:p>
          <w:p>
            <w:pPr>
              <w:pStyle w:val="8"/>
              <w:jc w:val="both"/>
            </w:pPr>
          </w:p>
          <w:p>
            <w:pPr>
              <w:pStyle w:val="8"/>
              <w:jc w:val="both"/>
            </w:pPr>
            <w:r>
              <w:t xml:space="preserve">Yetki belgelerinin yenileme dönemlerinde yetki belgesi üzerinde bulunan uyarmaların kaldırılmasına imkân tanınmıştır.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5" w:type="dxa"/>
            <w:vAlign w:val="top"/>
          </w:tcPr>
          <w:p>
            <w:pPr>
              <w:pStyle w:val="2"/>
              <w:spacing w:before="120" w:line="360" w:lineRule="auto"/>
              <w:ind w:firstLine="709"/>
              <w:outlineLvl w:val="1"/>
              <w:rPr>
                <w:bCs/>
                <w:sz w:val="24"/>
                <w:szCs w:val="24"/>
              </w:rPr>
            </w:pPr>
            <w:bookmarkStart w:id="6" w:name="_Toc226279792"/>
            <w:bookmarkStart w:id="7" w:name="_Toc232566735"/>
            <w:r>
              <w:rPr>
                <w:bCs/>
                <w:sz w:val="24"/>
                <w:szCs w:val="24"/>
              </w:rPr>
              <w:t>Yetki belgelerinin değiştirilmesi</w:t>
            </w:r>
            <w:bookmarkEnd w:id="6"/>
            <w:bookmarkEnd w:id="7"/>
          </w:p>
          <w:p>
            <w:pPr>
              <w:tabs>
                <w:tab w:val="left" w:pos="566"/>
              </w:tabs>
              <w:spacing w:line="360" w:lineRule="auto"/>
              <w:ind w:firstLine="566"/>
              <w:jc w:val="both"/>
              <w:rPr>
                <w:rFonts w:eastAsia="ヒラギノ明朝 Pro W3"/>
              </w:rPr>
            </w:pPr>
            <w:r>
              <w:rPr>
                <w:b/>
                <w:bCs/>
              </w:rPr>
              <w:t xml:space="preserve">MADDE 19- (2) </w:t>
            </w:r>
            <w:r>
              <w:rPr>
                <w:rFonts w:eastAsia="ヒラギノ明朝 Pro W3"/>
              </w:rPr>
              <w:t>ç) Değiştirilmek istenilen yetki belgesi üzerinde bulunan kalıcı hale gelmemiş tüm uyarmaların kaldırılması,</w:t>
            </w:r>
          </w:p>
          <w:p/>
        </w:tc>
        <w:tc>
          <w:tcPr>
            <w:tcW w:w="5529" w:type="dxa"/>
            <w:vAlign w:val="top"/>
          </w:tcPr>
          <w:p>
            <w:pPr>
              <w:pStyle w:val="2"/>
              <w:spacing w:before="120" w:line="360" w:lineRule="auto"/>
              <w:ind w:firstLine="709"/>
              <w:outlineLvl w:val="1"/>
              <w:rPr>
                <w:bCs/>
                <w:sz w:val="24"/>
                <w:szCs w:val="24"/>
              </w:rPr>
            </w:pPr>
            <w:r>
              <w:rPr>
                <w:bCs/>
                <w:sz w:val="24"/>
                <w:szCs w:val="24"/>
              </w:rPr>
              <w:t>Yetki belgelerinin değiştirilmesi</w:t>
            </w:r>
          </w:p>
          <w:p>
            <w:r>
              <w:rPr>
                <w:b/>
                <w:bCs/>
              </w:rPr>
              <w:t xml:space="preserve">MADDE 19- (2) </w:t>
            </w:r>
            <w:r>
              <w:rPr>
                <w:rFonts w:eastAsia="ヒラギノ明朝 Pro W3"/>
                <w:color w:val="C00000"/>
              </w:rPr>
              <w:t>ç) Değiştirilmek istenilen yetki belgesi üzerinde bulunan tüm uyarmaların kaldırılması,</w:t>
            </w:r>
          </w:p>
        </w:tc>
        <w:tc>
          <w:tcPr>
            <w:tcW w:w="4819" w:type="dxa"/>
            <w:vAlign w:val="top"/>
          </w:tcPr>
          <w:p>
            <w:pPr>
              <w:pStyle w:val="8"/>
              <w:jc w:val="both"/>
            </w:pPr>
          </w:p>
          <w:p>
            <w:pPr>
              <w:pStyle w:val="8"/>
              <w:jc w:val="both"/>
            </w:pPr>
            <w:r>
              <w:t xml:space="preserve">“Kalıcı hale gelmemiş uyarma cezaları” ifadesi Yönetmelik maddesinden kaldırılmıştır. Böylelikle uyarma cezalarının kalıcı hale  gelmeyecektir.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5" w:type="dxa"/>
            <w:vAlign w:val="top"/>
          </w:tcPr>
          <w:p>
            <w:pPr>
              <w:pStyle w:val="2"/>
              <w:spacing w:before="120" w:line="360" w:lineRule="auto"/>
              <w:ind w:firstLine="709"/>
              <w:outlineLvl w:val="1"/>
              <w:rPr>
                <w:bCs/>
                <w:sz w:val="24"/>
                <w:szCs w:val="24"/>
              </w:rPr>
            </w:pPr>
            <w:bookmarkStart w:id="8" w:name="_Toc226279796"/>
            <w:bookmarkStart w:id="9" w:name="_Toc232566739"/>
            <w:r>
              <w:rPr>
                <w:bCs/>
                <w:sz w:val="24"/>
                <w:szCs w:val="24"/>
              </w:rPr>
              <w:t>Yetki belgelerinin devredilemeyeceği ve birleşmeler</w:t>
            </w:r>
            <w:bookmarkEnd w:id="8"/>
            <w:bookmarkEnd w:id="9"/>
          </w:p>
          <w:p>
            <w:r>
              <w:rPr>
                <w:b/>
                <w:bCs/>
              </w:rPr>
              <w:t>MADDE 22-</w:t>
            </w:r>
            <w:r>
              <w:rPr>
                <w:rFonts w:eastAsia="ヒラギノ明朝 Pro W3"/>
              </w:rPr>
              <w:t>(4)  Bu maddeye göre yapılan birleşmelerde; birleşme öncesi yetki belgesi üzerinde bulunan kalıcı hale gelmemiş tüm uyarmalar kaldırılmadan  yeni yetki belgesi düzenlenmez ve varsa kalıcı hale gelmiş uyarmalar düzenlenen yeni yetki belgesi için aynı sayıda kalıcı uyarma olarak geçerli olur.</w:t>
            </w:r>
          </w:p>
        </w:tc>
        <w:tc>
          <w:tcPr>
            <w:tcW w:w="5529" w:type="dxa"/>
            <w:vAlign w:val="top"/>
          </w:tcPr>
          <w:p>
            <w:pPr>
              <w:pStyle w:val="2"/>
              <w:spacing w:before="120" w:line="360" w:lineRule="auto"/>
              <w:ind w:firstLine="709"/>
              <w:outlineLvl w:val="1"/>
              <w:rPr>
                <w:bCs/>
                <w:sz w:val="24"/>
                <w:szCs w:val="24"/>
              </w:rPr>
            </w:pPr>
            <w:r>
              <w:rPr>
                <w:bCs/>
                <w:sz w:val="24"/>
                <w:szCs w:val="24"/>
              </w:rPr>
              <w:t>Yetki belgelerinin devredilemeyeceği ve birleşmeler</w:t>
            </w:r>
          </w:p>
          <w:p>
            <w:pPr>
              <w:spacing w:line="240" w:lineRule="atLeast"/>
              <w:ind w:firstLine="566"/>
              <w:jc w:val="both"/>
              <w:rPr>
                <w:sz w:val="19"/>
                <w:szCs w:val="19"/>
              </w:rPr>
            </w:pPr>
            <w:r>
              <w:rPr>
                <w:b/>
                <w:bCs/>
              </w:rPr>
              <w:t>MADDE 22</w:t>
            </w:r>
            <w:r>
              <w:rPr>
                <w:rFonts w:eastAsia="ヒラギノ明朝 Pro W3"/>
                <w:color w:val="C00000"/>
              </w:rPr>
              <w:t>-“(4) Bu maddeye göre yapılan birleşmelerde, birleşme öncesi yetki belgesi üzerinde bulunan tüm uyarmalar kaldırılmadan yeni yetki belgesi düzenlenmez.”</w:t>
            </w:r>
          </w:p>
          <w:p/>
        </w:tc>
        <w:tc>
          <w:tcPr>
            <w:tcW w:w="4819" w:type="dxa"/>
            <w:vAlign w:val="top"/>
          </w:tcPr>
          <w:p>
            <w:pPr>
              <w:pStyle w:val="2"/>
              <w:spacing w:before="120" w:line="360" w:lineRule="auto"/>
              <w:outlineLvl w:val="1"/>
              <w:rPr>
                <w:bCs/>
                <w:sz w:val="24"/>
                <w:szCs w:val="24"/>
              </w:rPr>
            </w:pPr>
          </w:p>
          <w:p>
            <w:pPr>
              <w:jc w:val="both"/>
            </w:pPr>
            <w:r>
              <w:t xml:space="preserve">Yetki belgesi birleşmelerinde “kalıcı hale gelmemiş” ifadesi maddeden çıkarılmış ve tüm uyarma cezalarının kaldırılmasına imkan tanınarak birleştirme işlemlerinin ancak bu şekilde yapılabilmesi hükme bağlanmıştır.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5" w:type="dxa"/>
            <w:vAlign w:val="top"/>
          </w:tcPr>
          <w:p>
            <w:pPr>
              <w:pStyle w:val="2"/>
              <w:spacing w:before="120" w:line="360" w:lineRule="auto"/>
              <w:ind w:firstLine="709"/>
              <w:outlineLvl w:val="1"/>
              <w:rPr>
                <w:bCs/>
                <w:sz w:val="24"/>
                <w:szCs w:val="24"/>
              </w:rPr>
            </w:pPr>
            <w:bookmarkStart w:id="10" w:name="_Toc226279797"/>
            <w:bookmarkStart w:id="11" w:name="_Toc232566740"/>
            <w:r>
              <w:rPr>
                <w:bCs/>
                <w:sz w:val="24"/>
                <w:szCs w:val="24"/>
              </w:rPr>
              <w:t>Asgari kapasite şartının kaybedilmesi ve buna ilişkin kurallar</w:t>
            </w:r>
            <w:bookmarkEnd w:id="10"/>
            <w:bookmarkEnd w:id="11"/>
          </w:p>
          <w:p>
            <w:pPr>
              <w:pStyle w:val="8"/>
              <w:rPr>
                <w:rFonts w:eastAsia="ヒラギノ明朝 Pro W3"/>
              </w:rPr>
            </w:pPr>
            <w:r>
              <w:rPr>
                <w:b/>
                <w:bCs/>
              </w:rPr>
              <w:t xml:space="preserve">MADDE 23- </w:t>
            </w:r>
            <w:r>
              <w:rPr>
                <w:rFonts w:eastAsia="ヒラギノ明朝 Pro W3"/>
              </w:rPr>
              <w:t xml:space="preserve"> (b) (a) bendinde belirtilen nedenlerle veya bu Yönetmelik hükümlerine aykırılıktan dolayı yapılan re’sen düşümler sonucu veya taşıtların yaşları nedeniyle bu Yönetmelikte öngörülen asgari kapasite şartının kaybedilmesi halinde; asgari kapasitenin kaybedildiği sürelerin toplamı, yetki belgesinin 5 yıllık geçerlilik süresi boyunca 540 takvim gününden fazla olamaz.</w:t>
            </w:r>
          </w:p>
          <w:p/>
        </w:tc>
        <w:tc>
          <w:tcPr>
            <w:tcW w:w="5529" w:type="dxa"/>
            <w:vAlign w:val="top"/>
          </w:tcPr>
          <w:p>
            <w:pPr>
              <w:pStyle w:val="2"/>
              <w:spacing w:before="120" w:line="360" w:lineRule="auto"/>
              <w:ind w:firstLine="709"/>
              <w:outlineLvl w:val="1"/>
              <w:rPr>
                <w:bCs/>
                <w:sz w:val="24"/>
                <w:szCs w:val="24"/>
              </w:rPr>
            </w:pPr>
            <w:r>
              <w:rPr>
                <w:bCs/>
                <w:sz w:val="24"/>
                <w:szCs w:val="24"/>
              </w:rPr>
              <w:t>Asgari kapasite şartının kaybedilmesi ve buna ilişkin kurallar</w:t>
            </w:r>
          </w:p>
          <w:p>
            <w:r>
              <w:rPr>
                <w:b/>
                <w:bCs/>
              </w:rPr>
              <w:t xml:space="preserve">MADDE 23- </w:t>
            </w:r>
            <w:r>
              <w:rPr>
                <w:rFonts w:eastAsia="ヒラギノ明朝 Pro W3"/>
              </w:rPr>
              <w:t xml:space="preserve"> (</w:t>
            </w:r>
            <w:r>
              <w:rPr>
                <w:rFonts w:eastAsia="ヒラギノ明朝 Pro W3"/>
                <w:color w:val="C00000"/>
              </w:rPr>
              <w:t xml:space="preserve">b) (a) bendinde belirtilen nedenlerle veya bu Yönetmelik hükümlerine aykırılıktan dolayı yapılan re’sen düşümler sonucu veya taşıtların yaşları nedeniyle bu Yönetmelikte öngörülen asgari kapasite şartının kaybedilmesi halinde; asgari kapasitenin kaybedildiği sürelerin toplamı, yetki belgesinin 5 yıllık geçerlilik süresi boyunca </w:t>
            </w:r>
            <w:r>
              <w:rPr>
                <w:rFonts w:eastAsia="ヒラギノ明朝 Pro W3"/>
                <w:b/>
                <w:color w:val="C00000"/>
                <w:u w:val="single"/>
              </w:rPr>
              <w:t>630</w:t>
            </w:r>
            <w:r>
              <w:rPr>
                <w:rFonts w:eastAsia="ヒラギノ明朝 Pro W3"/>
                <w:color w:val="C00000"/>
              </w:rPr>
              <w:t xml:space="preserve"> takvim gününden fazla olamaz.</w:t>
            </w:r>
          </w:p>
        </w:tc>
        <w:tc>
          <w:tcPr>
            <w:tcW w:w="4819" w:type="dxa"/>
            <w:vAlign w:val="top"/>
          </w:tcPr>
          <w:p>
            <w:pPr>
              <w:pStyle w:val="2"/>
              <w:spacing w:before="120" w:line="360" w:lineRule="auto"/>
              <w:ind w:firstLine="709"/>
              <w:outlineLvl w:val="1"/>
              <w:rPr>
                <w:bCs/>
                <w:sz w:val="24"/>
                <w:szCs w:val="24"/>
              </w:rPr>
            </w:pPr>
          </w:p>
          <w:p>
            <w:pPr>
              <w:jc w:val="both"/>
            </w:pPr>
            <w:r>
              <w:rPr>
                <w:rFonts w:eastAsia="ヒラギノ明朝 Pro W3"/>
                <w:color w:val="000000"/>
              </w:rPr>
              <w:t xml:space="preserve">Asgari kapasitenin kaybedildiği sürelerin toplamı, yetki belgesinin 5 yıllık geçerlilik süresi boyunca 540 günden </w:t>
            </w:r>
            <w:r>
              <w:rPr>
                <w:rFonts w:eastAsia="ヒラギノ明朝 Pro W3"/>
                <w:b/>
                <w:color w:val="000000"/>
                <w:u w:val="single"/>
              </w:rPr>
              <w:t>630</w:t>
            </w:r>
            <w:r>
              <w:rPr>
                <w:rFonts w:eastAsia="ヒラギノ明朝 Pro W3"/>
                <w:color w:val="000000"/>
              </w:rPr>
              <w:t xml:space="preserve"> güne çıkarılmıştır.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5" w:type="dxa"/>
            <w:vAlign w:val="top"/>
          </w:tcPr>
          <w:p>
            <w:pPr>
              <w:pStyle w:val="2"/>
              <w:spacing w:before="120" w:line="360" w:lineRule="auto"/>
              <w:ind w:firstLine="709"/>
              <w:outlineLvl w:val="1"/>
              <w:rPr>
                <w:bCs/>
                <w:sz w:val="24"/>
                <w:szCs w:val="24"/>
              </w:rPr>
            </w:pPr>
            <w:bookmarkStart w:id="12" w:name="_Toc226279800"/>
            <w:bookmarkStart w:id="13" w:name="_Toc232566743"/>
            <w:r>
              <w:rPr>
                <w:bCs/>
                <w:sz w:val="24"/>
                <w:szCs w:val="24"/>
              </w:rPr>
              <w:t>Taşıtların yaşı, cinsi ve diğer şartlar</w:t>
            </w:r>
            <w:bookmarkEnd w:id="12"/>
            <w:bookmarkEnd w:id="13"/>
          </w:p>
          <w:p>
            <w:r>
              <w:rPr>
                <w:b/>
                <w:bCs/>
              </w:rPr>
              <w:t xml:space="preserve">MADDE 24- (5) </w:t>
            </w:r>
          </w:p>
        </w:tc>
        <w:tc>
          <w:tcPr>
            <w:tcW w:w="5529" w:type="dxa"/>
            <w:vAlign w:val="top"/>
          </w:tcPr>
          <w:p>
            <w:pPr>
              <w:pStyle w:val="2"/>
              <w:spacing w:before="120" w:line="360" w:lineRule="auto"/>
              <w:ind w:firstLine="709"/>
              <w:outlineLvl w:val="1"/>
              <w:rPr>
                <w:bCs/>
                <w:sz w:val="24"/>
                <w:szCs w:val="24"/>
              </w:rPr>
            </w:pPr>
            <w:r>
              <w:rPr>
                <w:bCs/>
                <w:sz w:val="24"/>
                <w:szCs w:val="24"/>
              </w:rPr>
              <w:t>Taşıtların yaşı, cinsi ve diğer şartlar</w:t>
            </w:r>
          </w:p>
          <w:p>
            <w:pPr>
              <w:rPr>
                <w:rFonts w:eastAsia="ヒラギノ明朝 Pro W3"/>
                <w:color w:val="C00000"/>
              </w:rPr>
            </w:pPr>
            <w:r>
              <w:rPr>
                <w:b/>
                <w:bCs/>
              </w:rPr>
              <w:t xml:space="preserve">MADDE 24- </w:t>
            </w:r>
            <w:r>
              <w:rPr>
                <w:rFonts w:eastAsia="ヒラギノ明朝 Pro W3"/>
                <w:color w:val="C00000"/>
              </w:rPr>
              <w:t>“(5) Yetki belgesi eki taşıt belgelerinde kayıtlı olan taşıtlardan;</w:t>
            </w:r>
          </w:p>
          <w:p>
            <w:pPr>
              <w:rPr>
                <w:rFonts w:eastAsia="ヒラギノ明朝 Pro W3"/>
                <w:color w:val="C00000"/>
              </w:rPr>
            </w:pPr>
            <w:r>
              <w:rPr>
                <w:rFonts w:eastAsia="ヒラギノ明朝 Pro W3"/>
                <w:color w:val="C00000"/>
              </w:rPr>
              <w:t>a) Bu maddenin birinci fıkrasında belirlenmiş taşıt yaşlarını aşan taşıtlar,</w:t>
            </w:r>
          </w:p>
          <w:p>
            <w:pPr>
              <w:rPr>
                <w:rFonts w:eastAsia="ヒラギノ明朝 Pro W3"/>
                <w:color w:val="C00000"/>
              </w:rPr>
            </w:pPr>
            <w:r>
              <w:rPr>
                <w:rFonts w:eastAsia="ヒラギノ明朝 Pro W3"/>
                <w:color w:val="C00000"/>
              </w:rPr>
              <w:t>b) 30 takvim günü veya daha fazla bir süre geçerli araç muayenesi olmayan yurt içindeki taşıtlar,</w:t>
            </w:r>
          </w:p>
          <w:p>
            <w:pPr>
              <w:rPr>
                <w:rFonts w:eastAsia="ヒラギノ明朝 Pro W3"/>
                <w:color w:val="C00000"/>
              </w:rPr>
            </w:pPr>
            <w:r>
              <w:rPr>
                <w:rFonts w:eastAsia="ヒラギノ明朝 Pro W3"/>
                <w:color w:val="C00000"/>
              </w:rPr>
              <w:t>c) Geçerli muayene süresi yurt dışında iken biten ve yurda giriş tarihinden itibaren 30 takvim günü veya daha fazla bir süre geçerli araç muayenesi olmayan taşıtlar,</w:t>
            </w:r>
          </w:p>
          <w:p>
            <w:pPr>
              <w:rPr>
                <w:rFonts w:eastAsia="ヒラギノ明朝 Pro W3"/>
                <w:color w:val="C00000"/>
              </w:rPr>
            </w:pPr>
            <w:r>
              <w:rPr>
                <w:rFonts w:eastAsia="ヒラギノ明朝 Pro W3"/>
                <w:color w:val="C00000"/>
              </w:rPr>
              <w:t>ç) Yaptırılması zorunlu olan sigortalardan herhangi biri bulunmayan taşıtlar,</w:t>
            </w:r>
          </w:p>
          <w:p>
            <w:pPr>
              <w:rPr>
                <w:rFonts w:eastAsia="ヒラギノ明朝 Pro W3"/>
                <w:color w:val="C00000"/>
              </w:rPr>
            </w:pPr>
            <w:r>
              <w:rPr>
                <w:rFonts w:eastAsia="ヒラギノ明朝 Pro W3"/>
                <w:color w:val="C00000"/>
              </w:rPr>
              <w:t>yetki belgesi eki taşıt belgelerinden re’sen düşülür.”</w:t>
            </w:r>
          </w:p>
          <w:p/>
        </w:tc>
        <w:tc>
          <w:tcPr>
            <w:tcW w:w="4819" w:type="dxa"/>
            <w:vAlign w:val="top"/>
          </w:tcPr>
          <w:p>
            <w:pPr>
              <w:pStyle w:val="8"/>
              <w:jc w:val="both"/>
            </w:pPr>
            <w:r>
              <w:t>Yönetmeliğin 24 üncü maddesine eklenen 5 inci fıkra ile birlikte hali hazırda talimat kapsamında uygulanan yurtdışında muayenesi biten araçlara Türkiye’ye girişten itibaren tanınan 30 gün süre imkanı, Yönetmeliği derç edilmiş ancak bu şartın sağlanmaması halinde araçların Yetki Belgesinden re’sen düşürüleceği hükme bağlanmıştır.</w:t>
            </w:r>
          </w:p>
          <w:p>
            <w:pPr>
              <w:pStyle w:val="8"/>
              <w:jc w:val="both"/>
            </w:pPr>
          </w:p>
          <w:p>
            <w:pPr>
              <w:pStyle w:val="8"/>
              <w:jc w:val="both"/>
              <w:rPr>
                <w:bCs/>
              </w:rPr>
            </w:pPr>
            <w:r>
              <w:t>İlave olarak, Yönetmelik kapsamında belirlenen araç yaşını aşan araçların, yurtiçin de 30 günden fazla muayenesini geçişrmiş araçların ya da zorunlu sigortaları yaptırılmamış araçların da Yetki Belgesinden re’sen düşürüleceği hükme bağlanmıştır.</w:t>
            </w:r>
            <w:r>
              <w:rPr>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5" w:type="dxa"/>
            <w:vAlign w:val="top"/>
          </w:tcPr>
          <w:p>
            <w:pPr>
              <w:pStyle w:val="2"/>
              <w:spacing w:before="120" w:line="360" w:lineRule="auto"/>
              <w:ind w:firstLine="709"/>
              <w:outlineLvl w:val="1"/>
              <w:rPr>
                <w:bCs/>
                <w:sz w:val="24"/>
                <w:szCs w:val="24"/>
              </w:rPr>
            </w:pPr>
            <w:bookmarkStart w:id="14" w:name="_Toc226279801"/>
            <w:bookmarkStart w:id="15" w:name="_Toc232566744"/>
            <w:r>
              <w:rPr>
                <w:bCs/>
                <w:sz w:val="24"/>
                <w:szCs w:val="24"/>
              </w:rPr>
              <w:t>Taşıtların özmal veya sözleşmeli olarak kullanılması</w:t>
            </w:r>
            <w:bookmarkEnd w:id="14"/>
            <w:bookmarkEnd w:id="15"/>
          </w:p>
          <w:p>
            <w:pPr>
              <w:pStyle w:val="8"/>
              <w:jc w:val="both"/>
            </w:pPr>
            <w:r>
              <w:rPr>
                <w:b/>
              </w:rPr>
              <w:t>MADDE 25-</w:t>
            </w:r>
            <w:r>
              <w:t xml:space="preserve"> (1) ç) Sözleşmeli taşıt kullanım oranı hesabında; her özmal taşıta karşılık aynı cinsten taşıt/taşıtlar dikkate alınır.</w:t>
            </w:r>
          </w:p>
          <w:p>
            <w:pPr>
              <w:rPr>
                <w:lang w:eastAsia="en-US"/>
              </w:rPr>
            </w:pPr>
          </w:p>
          <w:p>
            <w:pPr>
              <w:pStyle w:val="8"/>
              <w:jc w:val="both"/>
            </w:pPr>
            <w:r>
              <w:t xml:space="preserve">(3) 10/6/1985 tarihli ve 3226 sayılı Finansal Kiralama Kanunu kapsamında sağlanan taşıtlar, bu Yönetmelikte belirtilen esaslar çerçevesinde sözleşmeli ticari taşıt olarak değerlendirilir. Bu yolla temin edilen taşıtların, finansal kiralama sözleşmesinin bitim tarihinden itibaren yetki belgesi sahibinin adına kayıt ve tescil edilmesi şarttır. Bunun sağlanamaması veya finansal kiralama sözleşmesinin bitim tarihinin uzatılmaması halinde bu taşıt veya taşıtlar yetki belgesi sahibinin taşıt belgesinden re’sen düşülür. </w:t>
            </w:r>
          </w:p>
          <w:p>
            <w:pPr>
              <w:pStyle w:val="2"/>
              <w:spacing w:before="120" w:line="360" w:lineRule="auto"/>
              <w:ind w:firstLine="709"/>
              <w:outlineLvl w:val="1"/>
              <w:rPr>
                <w:bCs/>
                <w:sz w:val="24"/>
                <w:szCs w:val="24"/>
              </w:rPr>
            </w:pPr>
          </w:p>
        </w:tc>
        <w:tc>
          <w:tcPr>
            <w:tcW w:w="5529" w:type="dxa"/>
            <w:vAlign w:val="top"/>
          </w:tcPr>
          <w:p>
            <w:pPr>
              <w:pStyle w:val="2"/>
              <w:spacing w:before="120" w:line="360" w:lineRule="auto"/>
              <w:outlineLvl w:val="1"/>
              <w:rPr>
                <w:bCs/>
                <w:sz w:val="24"/>
                <w:szCs w:val="24"/>
              </w:rPr>
            </w:pPr>
            <w:r>
              <w:rPr>
                <w:bCs/>
                <w:sz w:val="24"/>
                <w:szCs w:val="24"/>
              </w:rPr>
              <w:t>Taşıtların özmal veya sözleşmeli olarak kullanılması</w:t>
            </w:r>
          </w:p>
          <w:p>
            <w:pPr>
              <w:spacing w:line="240" w:lineRule="atLeast"/>
              <w:ind w:firstLine="566"/>
              <w:jc w:val="both"/>
              <w:rPr>
                <w:sz w:val="19"/>
                <w:szCs w:val="19"/>
              </w:rPr>
            </w:pPr>
            <w:r>
              <w:rPr>
                <w:b/>
                <w:bCs/>
              </w:rPr>
              <w:t xml:space="preserve">MADDE 25- (1) </w:t>
            </w:r>
            <w:r>
              <w:rPr>
                <w:rFonts w:eastAsia="ヒラギノ明朝 Pro W3"/>
                <w:color w:val="C00000"/>
              </w:rPr>
              <w:t>“ç) M türü yetki belgeleri hariç diğer yetki belgeleri için sözleşmeli taşıt kullanım oranı hesabında, her özmal taşıta karşılık aynı cinsten taşıt/taşıtlar dikkate alınır.”</w:t>
            </w:r>
          </w:p>
          <w:p/>
          <w:p/>
          <w:p>
            <w:pPr>
              <w:spacing w:line="240" w:lineRule="atLeast"/>
              <w:jc w:val="both"/>
              <w:rPr>
                <w:rFonts w:eastAsia="ヒラギノ明朝 Pro W3"/>
                <w:color w:val="C00000"/>
              </w:rPr>
            </w:pPr>
            <w:r>
              <w:rPr>
                <w:rFonts w:eastAsia="ヒラギノ明朝 Pro W3"/>
                <w:color w:val="C00000"/>
              </w:rPr>
              <w:t>“(3) 6361 sayılı Kanun kapsamında sağlanan taşıtlar, bu Yönetmelikte belirtilen esaslar çerçevesinde sözleşmeli ticari taşıt olarak değerlendirilir. Bu yolla temin edilen taşıtların, finansal kiralama sözleşmesinin bitim tarihinden itibaren yetki belgesi sahibinin adına kayıt ve tescil edilmesi şarttır. Bunun sağlanamaması veya finansal kiralama sözleşmesinin bitim tarihinin uzatılmaması halinde bu taşıt veya taşıtlar yetki belgesi sahibinin taşıt belgesinden re’sen düşülür.”</w:t>
            </w:r>
          </w:p>
          <w:p>
            <w:pPr>
              <w:spacing w:line="240" w:lineRule="atLeast"/>
              <w:jc w:val="both"/>
              <w:rPr>
                <w:rFonts w:eastAsia="ヒラギノ明朝 Pro W3"/>
                <w:color w:val="C00000"/>
              </w:rPr>
            </w:pPr>
          </w:p>
          <w:p>
            <w:pPr>
              <w:spacing w:line="240" w:lineRule="atLeast"/>
              <w:jc w:val="both"/>
              <w:rPr>
                <w:rFonts w:eastAsia="ヒラギノ明朝 Pro W3"/>
                <w:color w:val="C00000"/>
              </w:rPr>
            </w:pPr>
            <w:r>
              <w:rPr>
                <w:rFonts w:eastAsia="ヒラギノ明朝 Pro W3"/>
                <w:color w:val="C00000"/>
              </w:rPr>
              <w:t>“(4) 23 üncü ve/veya 24 üncü maddelere göre yapılan re’sen taşıt düşümleri veya yetki belgesi sahibinin talebi üzerine yapılan taşıt düşümleri sonucu; bu maddede belirlenmiş sözleşmeli taşıt kullanım oranının aşılması halinde, sözleşmeli taşıt kullanım oranının aşıldığı tarihi takip eden 30 uncu takvim gününün sonunda sözleşmeli taşıt kullanım oranının aşıldığı cinsteki sözleşmeli taşıtlardan, yetki belgesi eki taşıt belgesine en son kayıt edilmiş olandan başlanılarak eski tarihe doğru sözleşmeli taşıtlar, sözleşmeli taşıt kullanım oranı sağlanıncaya kadar taşıt belgesinden re’sen düşülür.”</w:t>
            </w:r>
          </w:p>
          <w:p>
            <w:pPr>
              <w:spacing w:line="240" w:lineRule="atLeast"/>
              <w:jc w:val="both"/>
              <w:rPr>
                <w:rFonts w:eastAsia="ヒラギノ明朝 Pro W3"/>
                <w:color w:val="C00000"/>
              </w:rPr>
            </w:pPr>
          </w:p>
          <w:p/>
        </w:tc>
        <w:tc>
          <w:tcPr>
            <w:tcW w:w="4819" w:type="dxa"/>
            <w:vAlign w:val="top"/>
          </w:tcPr>
          <w:p>
            <w:pPr>
              <w:pStyle w:val="2"/>
              <w:spacing w:before="120" w:line="360" w:lineRule="auto"/>
              <w:outlineLvl w:val="1"/>
              <w:rPr>
                <w:bCs/>
                <w:sz w:val="24"/>
                <w:szCs w:val="24"/>
              </w:rPr>
            </w:pPr>
          </w:p>
          <w:p>
            <w:r>
              <w:t>Sözleşmeli taşıt kullanım oranlarında taşıt cinsine ilişkin hükümlerde M türü yetki belgeleri kapsamın dışı bırakılmıştır.</w:t>
            </w:r>
          </w:p>
          <w:p/>
          <w:p/>
          <w:p/>
          <w:p>
            <w:r>
              <w:t>Finansal Kiralama Kanunu’nun 3226 sayısı 6361 olarak değiştirilmiştir.</w:t>
            </w:r>
          </w:p>
          <w:p/>
          <w:p/>
          <w:p/>
          <w:p/>
          <w:p/>
          <w:p/>
          <w:p/>
          <w:p/>
          <w:p>
            <w:r>
              <w:t xml:space="preserve">Sözleşmeli taşıt kullanım oranlarının aşılması durumunda Yönetmelikteki ilgili hüküm gereği yapılacak taşıt düşümleri hükme bağlanmıştır.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5" w:type="dxa"/>
            <w:vAlign w:val="top"/>
          </w:tcPr>
          <w:p>
            <w:pPr>
              <w:pStyle w:val="2"/>
              <w:spacing w:before="120" w:line="360" w:lineRule="auto"/>
              <w:ind w:firstLine="709"/>
              <w:outlineLvl w:val="1"/>
              <w:rPr>
                <w:bCs/>
                <w:sz w:val="24"/>
                <w:szCs w:val="24"/>
              </w:rPr>
            </w:pPr>
            <w:bookmarkStart w:id="16" w:name="_Toc226279814"/>
            <w:bookmarkStart w:id="17" w:name="_Toc232566757"/>
            <w:r>
              <w:rPr>
                <w:bCs/>
                <w:sz w:val="24"/>
                <w:szCs w:val="24"/>
              </w:rPr>
              <w:t>Şoförlerde aranacak nitelik ve şartlar</w:t>
            </w:r>
            <w:bookmarkEnd w:id="16"/>
            <w:bookmarkEnd w:id="17"/>
          </w:p>
          <w:p>
            <w:pPr>
              <w:spacing w:line="360" w:lineRule="auto"/>
              <w:ind w:firstLine="709"/>
              <w:jc w:val="both"/>
            </w:pPr>
            <w:r>
              <w:rPr>
                <w:b/>
                <w:bCs/>
              </w:rPr>
              <w:t xml:space="preserve">MADDE 36- </w:t>
            </w:r>
            <w:r>
              <w:t xml:space="preserve">(1) ç) 63 yaşından gün almamış olmaları, </w:t>
            </w:r>
          </w:p>
          <w:p>
            <w:pPr>
              <w:pStyle w:val="2"/>
              <w:spacing w:before="120" w:line="360" w:lineRule="auto"/>
              <w:ind w:firstLine="709"/>
              <w:outlineLvl w:val="1"/>
              <w:rPr>
                <w:bCs/>
                <w:sz w:val="24"/>
                <w:szCs w:val="24"/>
              </w:rPr>
            </w:pPr>
          </w:p>
        </w:tc>
        <w:tc>
          <w:tcPr>
            <w:tcW w:w="5529" w:type="dxa"/>
            <w:vAlign w:val="top"/>
          </w:tcPr>
          <w:p>
            <w:pPr>
              <w:pStyle w:val="2"/>
              <w:spacing w:before="120" w:line="360" w:lineRule="auto"/>
              <w:ind w:firstLine="709"/>
              <w:outlineLvl w:val="1"/>
              <w:rPr>
                <w:bCs/>
                <w:sz w:val="24"/>
                <w:szCs w:val="24"/>
              </w:rPr>
            </w:pPr>
            <w:r>
              <w:rPr>
                <w:bCs/>
                <w:sz w:val="24"/>
                <w:szCs w:val="24"/>
              </w:rPr>
              <w:t>Şoförlerde aranacak nitelik ve şartlar</w:t>
            </w:r>
          </w:p>
          <w:p>
            <w:pPr>
              <w:pStyle w:val="8"/>
              <w:rPr>
                <w:color w:val="C00000"/>
              </w:rPr>
            </w:pPr>
            <w:r>
              <w:rPr>
                <w:b/>
                <w:bCs/>
              </w:rPr>
              <w:t xml:space="preserve">MADDE 36- </w:t>
            </w:r>
            <w:r>
              <w:t xml:space="preserve">(1) </w:t>
            </w:r>
            <w:r>
              <w:rPr>
                <w:color w:val="C00000"/>
              </w:rPr>
              <w:t xml:space="preserve">ç) </w:t>
            </w:r>
            <w:r>
              <w:rPr>
                <w:b/>
                <w:color w:val="C00000"/>
                <w:u w:val="single"/>
              </w:rPr>
              <w:t>66</w:t>
            </w:r>
            <w:r>
              <w:rPr>
                <w:color w:val="C00000"/>
              </w:rPr>
              <w:t xml:space="preserve"> yaşından gün almamış olmaları, </w:t>
            </w:r>
          </w:p>
          <w:p/>
        </w:tc>
        <w:tc>
          <w:tcPr>
            <w:tcW w:w="4819" w:type="dxa"/>
            <w:vAlign w:val="top"/>
          </w:tcPr>
          <w:p>
            <w:pPr>
              <w:pStyle w:val="2"/>
              <w:spacing w:before="120" w:line="360" w:lineRule="auto"/>
              <w:outlineLvl w:val="1"/>
              <w:rPr>
                <w:bCs/>
                <w:sz w:val="24"/>
                <w:szCs w:val="24"/>
              </w:rPr>
            </w:pPr>
          </w:p>
          <w:p>
            <w:r>
              <w:t xml:space="preserve">Şoför yaş sınırı 63’ten 66’ya yükselmiştir.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5" w:type="dxa"/>
            <w:vAlign w:val="top"/>
          </w:tcPr>
          <w:p>
            <w:pPr>
              <w:pStyle w:val="2"/>
              <w:spacing w:before="120" w:line="360" w:lineRule="auto"/>
              <w:ind w:firstLine="709"/>
              <w:outlineLvl w:val="1"/>
              <w:rPr>
                <w:bCs/>
                <w:sz w:val="24"/>
                <w:szCs w:val="24"/>
              </w:rPr>
            </w:pPr>
            <w:bookmarkStart w:id="18" w:name="_Toc226279824"/>
            <w:bookmarkStart w:id="19" w:name="_Toc232566767"/>
            <w:r>
              <w:rPr>
                <w:bCs/>
                <w:sz w:val="24"/>
                <w:szCs w:val="24"/>
              </w:rPr>
              <w:t>Yetki belgesi sahiplerinin yükümlülükleri</w:t>
            </w:r>
            <w:bookmarkEnd w:id="18"/>
            <w:bookmarkEnd w:id="19"/>
          </w:p>
          <w:p>
            <w:pPr>
              <w:spacing w:line="360" w:lineRule="auto"/>
              <w:ind w:firstLine="709"/>
              <w:jc w:val="both"/>
            </w:pPr>
            <w:r>
              <w:rPr>
                <w:b/>
              </w:rPr>
              <w:t>MADDE 43-</w:t>
            </w:r>
            <w:r>
              <w:t>(22) Yetki belgesi sahibi gerçek ve tüzel kişiler; unvan, adres, vergi numarası, ortaklık, hisse devri (halka açık sermaye şirketlerinde hamiline yazılı hisse devirleri hariç), sermaye miktarı, yönetici, acentelik sözleşmeleri ve taşıtlara ilişkin değişiklikleri, değişikliğin meydana geldiği tarihten itibaren 60 gün içinde Bakanlığa bildirmekle yükümlüdürler.</w:t>
            </w:r>
          </w:p>
          <w:p>
            <w:pPr>
              <w:rPr>
                <w:lang w:eastAsia="en-US"/>
              </w:rPr>
            </w:pPr>
          </w:p>
        </w:tc>
        <w:tc>
          <w:tcPr>
            <w:tcW w:w="5529" w:type="dxa"/>
            <w:vAlign w:val="top"/>
          </w:tcPr>
          <w:p>
            <w:pPr>
              <w:pStyle w:val="2"/>
              <w:spacing w:before="120" w:line="360" w:lineRule="auto"/>
              <w:ind w:firstLine="709"/>
              <w:outlineLvl w:val="1"/>
              <w:rPr>
                <w:bCs/>
                <w:sz w:val="24"/>
                <w:szCs w:val="24"/>
              </w:rPr>
            </w:pPr>
            <w:r>
              <w:rPr>
                <w:bCs/>
                <w:sz w:val="24"/>
                <w:szCs w:val="24"/>
              </w:rPr>
              <w:t>Yetki belgesi sahiplerinin yükümlülükleri</w:t>
            </w:r>
          </w:p>
          <w:p>
            <w:pPr>
              <w:pStyle w:val="8"/>
              <w:jc w:val="both"/>
              <w:rPr>
                <w:color w:val="C00000"/>
              </w:rPr>
            </w:pPr>
            <w:r>
              <w:rPr>
                <w:b/>
              </w:rPr>
              <w:t>MADDE 43-</w:t>
            </w:r>
            <w:r>
              <w:t xml:space="preserve"> </w:t>
            </w:r>
            <w:r>
              <w:rPr>
                <w:color w:val="C00000"/>
              </w:rPr>
              <w:t>“(22) Yetki belgesi sahibi gerçek ve tüzel kişiler;</w:t>
            </w:r>
          </w:p>
          <w:p>
            <w:pPr>
              <w:pStyle w:val="8"/>
              <w:jc w:val="both"/>
              <w:rPr>
                <w:color w:val="C00000"/>
              </w:rPr>
            </w:pPr>
            <w:r>
              <w:rPr>
                <w:color w:val="C00000"/>
              </w:rPr>
              <w:t>a) B3, C1, D3 ve K2 yetki belgeleri dışındaki diğer yetki belgelerine ilişkin unvan, adres, vergi numarası, ortaklık, hisse devri (halka açık sermaye şirketlerinde hamiline yazılı hisse devirleri hariç), sermaye miktarı, yönetici, acentelik sözleşmeleri ile ilgili değişiklikleri,</w:t>
            </w:r>
          </w:p>
          <w:p>
            <w:pPr>
              <w:pStyle w:val="8"/>
              <w:jc w:val="both"/>
              <w:rPr>
                <w:color w:val="C00000"/>
              </w:rPr>
            </w:pPr>
            <w:r>
              <w:rPr>
                <w:color w:val="C00000"/>
              </w:rPr>
              <w:t>b) Bu Yönetmeliğe göre yetki belgelerinden re’sen düşülmüş taşıtlar hariç diğer taşıtlara ilişkin değişiklikleri,</w:t>
            </w:r>
          </w:p>
          <w:p>
            <w:pPr>
              <w:pStyle w:val="8"/>
              <w:jc w:val="both"/>
              <w:rPr>
                <w:color w:val="C00000"/>
              </w:rPr>
            </w:pPr>
            <w:r>
              <w:rPr>
                <w:color w:val="C00000"/>
              </w:rPr>
              <w:t>değişikliğin meydana geldiği tarihten itibaren 60 takvim günü içinde Bakanlığa bildirmekle yükümlüdürler.”</w:t>
            </w:r>
          </w:p>
          <w:p/>
        </w:tc>
        <w:tc>
          <w:tcPr>
            <w:tcW w:w="4819" w:type="dxa"/>
            <w:vAlign w:val="top"/>
          </w:tcPr>
          <w:p>
            <w:pPr>
              <w:pStyle w:val="2"/>
              <w:spacing w:before="120" w:line="360" w:lineRule="auto"/>
              <w:outlineLvl w:val="1"/>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5" w:type="dxa"/>
            <w:vAlign w:val="top"/>
          </w:tcPr>
          <w:p>
            <w:pPr>
              <w:spacing w:line="360" w:lineRule="auto"/>
              <w:rPr>
                <w:b/>
              </w:rPr>
            </w:pPr>
            <w:r>
              <w:rPr>
                <w:b/>
              </w:rPr>
              <w:t>Diğer İdari Yaptırımlar</w:t>
            </w:r>
          </w:p>
          <w:p>
            <w:pPr>
              <w:pStyle w:val="2"/>
              <w:spacing w:before="120" w:line="360" w:lineRule="auto"/>
              <w:outlineLvl w:val="1"/>
              <w:rPr>
                <w:bCs/>
                <w:sz w:val="24"/>
                <w:szCs w:val="24"/>
              </w:rPr>
            </w:pPr>
            <w:bookmarkStart w:id="20" w:name="_Toc226279868"/>
            <w:bookmarkStart w:id="21" w:name="_Toc232566811"/>
            <w:r>
              <w:rPr>
                <w:bCs/>
                <w:sz w:val="24"/>
                <w:szCs w:val="24"/>
              </w:rPr>
              <w:t>Uyarma</w:t>
            </w:r>
            <w:bookmarkEnd w:id="20"/>
            <w:bookmarkEnd w:id="21"/>
          </w:p>
          <w:p>
            <w:pPr>
              <w:pStyle w:val="2"/>
              <w:spacing w:before="120" w:line="360" w:lineRule="auto"/>
              <w:ind w:firstLine="709"/>
              <w:outlineLvl w:val="1"/>
            </w:pPr>
            <w:r>
              <w:rPr>
                <w:bCs/>
              </w:rPr>
              <w:t xml:space="preserve">MADDE 76 </w:t>
            </w:r>
            <w:r>
              <w:t>–</w:t>
            </w:r>
          </w:p>
          <w:p>
            <w:pPr>
              <w:pStyle w:val="8"/>
              <w:jc w:val="both"/>
            </w:pPr>
            <w:r>
              <w:t>l) 41 inci maddesinin ikinci ve üçüncü fıkralarına aykırı hareket edenlere her fıkra için 3 uyarma,</w:t>
            </w:r>
          </w:p>
          <w:p>
            <w:pPr>
              <w:pStyle w:val="8"/>
              <w:jc w:val="both"/>
            </w:pPr>
          </w:p>
          <w:p>
            <w:pPr>
              <w:pStyle w:val="8"/>
              <w:jc w:val="both"/>
            </w:pPr>
          </w:p>
          <w:p>
            <w:pPr>
              <w:pStyle w:val="8"/>
              <w:jc w:val="both"/>
            </w:pPr>
            <w:r>
              <w:t xml:space="preserve">n) 43 üncü maddesinin dördüncü, altıncı, dokuzuncu, onbirinci, onaltıncı, onyedinci, ondokuzuncu, yirmiikinci ve yirmiyedincı fıkralarına aykırı hareket edenlere her fıkra için 5 uyarma; beşinci ve onuncu fıkralarına aykırı hareket edenlere her fıkra için 2 uyarma; yedinci, yirminci, yirmibeşinci ve yirmialtıncı fıkralarına aykırı hareket edenlere her fıkra için 10 uyarma; yirmisekizinci fıkrasına aykırı hareket edenlere 3 uyarma, </w:t>
            </w:r>
          </w:p>
          <w:p>
            <w:pPr>
              <w:pStyle w:val="8"/>
              <w:jc w:val="both"/>
            </w:pPr>
          </w:p>
          <w:p>
            <w:pPr>
              <w:pStyle w:val="8"/>
              <w:jc w:val="both"/>
            </w:pPr>
          </w:p>
          <w:p>
            <w:pPr>
              <w:pStyle w:val="8"/>
              <w:jc w:val="both"/>
            </w:pPr>
          </w:p>
          <w:p>
            <w:pPr>
              <w:pStyle w:val="8"/>
              <w:jc w:val="both"/>
            </w:pPr>
          </w:p>
          <w:p>
            <w:pPr>
              <w:pStyle w:val="8"/>
              <w:jc w:val="both"/>
            </w:pPr>
          </w:p>
          <w:p>
            <w:pPr>
              <w:pStyle w:val="8"/>
              <w:jc w:val="both"/>
            </w:pPr>
          </w:p>
          <w:p>
            <w:pPr>
              <w:pStyle w:val="8"/>
              <w:jc w:val="both"/>
            </w:pPr>
          </w:p>
          <w:p>
            <w:pPr>
              <w:pStyle w:val="8"/>
              <w:jc w:val="both"/>
            </w:pPr>
          </w:p>
          <w:p>
            <w:pPr>
              <w:pStyle w:val="8"/>
              <w:jc w:val="both"/>
            </w:pPr>
          </w:p>
          <w:p>
            <w:pPr>
              <w:pStyle w:val="8"/>
              <w:jc w:val="both"/>
            </w:pPr>
          </w:p>
          <w:p>
            <w:pPr>
              <w:pStyle w:val="8"/>
              <w:jc w:val="both"/>
            </w:pPr>
          </w:p>
          <w:p>
            <w:pPr>
              <w:pStyle w:val="8"/>
              <w:jc w:val="both"/>
            </w:pPr>
          </w:p>
          <w:p>
            <w:pPr>
              <w:pStyle w:val="8"/>
              <w:jc w:val="both"/>
            </w:pPr>
          </w:p>
          <w:p>
            <w:pPr>
              <w:pStyle w:val="8"/>
              <w:jc w:val="both"/>
            </w:pPr>
          </w:p>
          <w:p>
            <w:pPr>
              <w:pStyle w:val="8"/>
              <w:jc w:val="both"/>
            </w:pPr>
          </w:p>
          <w:p>
            <w:pPr>
              <w:pStyle w:val="8"/>
              <w:jc w:val="both"/>
            </w:pPr>
          </w:p>
          <w:p>
            <w:pPr>
              <w:pStyle w:val="8"/>
              <w:jc w:val="both"/>
            </w:pPr>
          </w:p>
          <w:p>
            <w:pPr>
              <w:pStyle w:val="8"/>
              <w:jc w:val="both"/>
              <w:rPr>
                <w:strike/>
              </w:rPr>
            </w:pPr>
            <w:r>
              <w:t xml:space="preserve">(3) Yetki belgesi sahipleri; birinci ve ikinci fıkralara göre verilen uyarmaların veriliş tarihinden itibaren 90 gün içinde; Bakanlığa yazılı başvuruda bulunarak verilen uyarmaların paraya çevrilmesini talep edebilirler. Verilen uyarmaların paraya çevrilebilmesi için; bu 90 günlük süre içinde uyarma başına 63 Türk Lirasının Bakanlık döner sermaye hesaplarına ödenmesi şarttır. Söz konusu ödemenin yapılmasından sonra uyarmalar kaldırılır. Paraya çevrilmeyen uyarmalar kaldırılmaz. Bu ücret, her takvim yılı başından geçerli olmak üzere o yıl için 4/1/1961 tarihli ve 213 sayılı Vergi Usul Kanunu uyarınca tespit ve ilan edilen yeniden değerleme oranında artırılarak uygulanır. </w:t>
            </w:r>
          </w:p>
          <w:p>
            <w:pPr>
              <w:pStyle w:val="2"/>
              <w:spacing w:before="120" w:line="360" w:lineRule="auto"/>
              <w:ind w:firstLine="709"/>
              <w:outlineLvl w:val="1"/>
              <w:rPr>
                <w:bCs/>
                <w:sz w:val="24"/>
                <w:szCs w:val="24"/>
              </w:rPr>
            </w:pPr>
          </w:p>
        </w:tc>
        <w:tc>
          <w:tcPr>
            <w:tcW w:w="5529" w:type="dxa"/>
            <w:vAlign w:val="top"/>
          </w:tcPr>
          <w:p>
            <w:pPr>
              <w:spacing w:line="360" w:lineRule="auto"/>
              <w:rPr>
                <w:b/>
              </w:rPr>
            </w:pPr>
            <w:r>
              <w:rPr>
                <w:b/>
              </w:rPr>
              <w:t>Diğer İdari Yaptırımlar</w:t>
            </w:r>
          </w:p>
          <w:p>
            <w:pPr>
              <w:pStyle w:val="2"/>
              <w:spacing w:before="120" w:line="360" w:lineRule="auto"/>
              <w:outlineLvl w:val="1"/>
              <w:rPr>
                <w:bCs/>
                <w:sz w:val="24"/>
                <w:szCs w:val="24"/>
              </w:rPr>
            </w:pPr>
            <w:r>
              <w:rPr>
                <w:bCs/>
                <w:sz w:val="24"/>
                <w:szCs w:val="24"/>
              </w:rPr>
              <w:t>Uyarma</w:t>
            </w:r>
          </w:p>
          <w:p>
            <w:pPr>
              <w:pStyle w:val="2"/>
              <w:spacing w:before="120" w:line="360" w:lineRule="auto"/>
              <w:ind w:firstLine="709"/>
              <w:outlineLvl w:val="1"/>
            </w:pPr>
            <w:r>
              <w:rPr>
                <w:bCs/>
              </w:rPr>
              <w:t xml:space="preserve">MADDE 76 </w:t>
            </w:r>
            <w:r>
              <w:t>–</w:t>
            </w:r>
          </w:p>
          <w:p>
            <w:pPr>
              <w:pStyle w:val="8"/>
              <w:jc w:val="both"/>
              <w:rPr>
                <w:color w:val="C00000"/>
              </w:rPr>
            </w:pPr>
            <w:r>
              <w:rPr>
                <w:color w:val="C00000"/>
              </w:rPr>
              <w:t>“l) 41 inci maddesinin ikinci fıkrasına aykırı hareket edenlere 3 uyarma,”</w:t>
            </w:r>
          </w:p>
          <w:p>
            <w:pPr>
              <w:pStyle w:val="8"/>
              <w:jc w:val="both"/>
              <w:rPr>
                <w:color w:val="C00000"/>
              </w:rPr>
            </w:pPr>
          </w:p>
          <w:p>
            <w:pPr>
              <w:pStyle w:val="8"/>
              <w:jc w:val="both"/>
              <w:rPr>
                <w:color w:val="C00000"/>
              </w:rPr>
            </w:pPr>
          </w:p>
          <w:p>
            <w:pPr>
              <w:pStyle w:val="8"/>
              <w:jc w:val="both"/>
              <w:rPr>
                <w:color w:val="C00000"/>
              </w:rPr>
            </w:pPr>
            <w:r>
              <w:rPr>
                <w:color w:val="C00000"/>
              </w:rPr>
              <w:t>“n) 43 üncü maddesinin dördüncü, altıncı, yedinci, dokuzuncu, onbirinci, onaltıncı, ondokuzuncu, yirminci,yirmiikinci, yirmibeşinci, yirmialtıncı ve yirmiyedinci fıkralarına aykırı hareket edenlere her fıkra için 5 uyarma; beşinci ve onuncu fıkralarına aykırı hareket edenlere her fıkra için 2 uyarma; yirmisekizinci fıkrasına aykırı hareket edenlere 3 uyarma,”</w:t>
            </w: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r>
              <w:rPr>
                <w:color w:val="C00000"/>
              </w:rPr>
              <w:t>“(3) Yetki belgesi sahipleri; birinci ve ikinci fıkralara göre verilen uyarmaları; Bakanlığa yazılı başvuruda bulunarak paraya çevrilmesini talep edebilirler. Verilen uyarmaların paraya çevrilebilmesi için; uyarma başına 95 Türk Lirasının, Bakanlık döner sermaye hesaplarına ödenmesi şarttır. Söz konusu ödemenin yapılmasından sonra uyarmalar kaldırılır. Paraya çevrilmeyen uyarmalar kaldırılmaz. Bu ücret, her takvim yılı başından geçerli olmak üzere o yıl için 213 sayılı Kanun uyarınca tespit ve ilan edilen yeniden değerleme oranında artırılarak uygulanır.”</w:t>
            </w:r>
          </w:p>
          <w:p/>
        </w:tc>
        <w:tc>
          <w:tcPr>
            <w:tcW w:w="4819" w:type="dxa"/>
            <w:vAlign w:val="top"/>
          </w:tcPr>
          <w:p>
            <w:pPr>
              <w:pStyle w:val="8"/>
              <w:jc w:val="both"/>
            </w:pPr>
          </w:p>
          <w:p>
            <w:pPr>
              <w:pStyle w:val="8"/>
              <w:jc w:val="both"/>
            </w:pPr>
          </w:p>
          <w:p>
            <w:pPr>
              <w:pStyle w:val="8"/>
              <w:jc w:val="both"/>
            </w:pPr>
          </w:p>
          <w:p>
            <w:pPr>
              <w:pStyle w:val="8"/>
              <w:jc w:val="both"/>
            </w:pPr>
          </w:p>
          <w:p>
            <w:pPr>
              <w:pStyle w:val="8"/>
              <w:jc w:val="both"/>
            </w:pPr>
          </w:p>
          <w:p>
            <w:pPr>
              <w:pStyle w:val="8"/>
              <w:jc w:val="both"/>
            </w:pPr>
          </w:p>
          <w:p>
            <w:pPr>
              <w:pStyle w:val="8"/>
              <w:jc w:val="both"/>
            </w:pPr>
          </w:p>
          <w:p>
            <w:pPr>
              <w:pStyle w:val="8"/>
              <w:jc w:val="both"/>
            </w:pPr>
          </w:p>
          <w:p>
            <w:pPr>
              <w:pStyle w:val="8"/>
              <w:jc w:val="both"/>
            </w:pPr>
          </w:p>
          <w:p>
            <w:pPr>
              <w:pStyle w:val="8"/>
              <w:jc w:val="both"/>
            </w:pPr>
            <w:r>
              <w:t>Geçiş Belgesi Dağıtım Esasları Yönergesi kapsamında aşağıda belirtilen ihlallere kesilen 10 uyarma cezası 5’e düşürülmüştür.</w:t>
            </w:r>
          </w:p>
          <w:p>
            <w:pPr>
              <w:pStyle w:val="8"/>
              <w:jc w:val="both"/>
            </w:pPr>
          </w:p>
          <w:p>
            <w:pPr>
              <w:pStyle w:val="9"/>
              <w:widowControl w:val="0"/>
              <w:numPr>
                <w:ilvl w:val="0"/>
                <w:numId w:val="1"/>
              </w:numPr>
              <w:tabs>
                <w:tab w:val="left" w:pos="426"/>
                <w:tab w:val="left" w:pos="1134"/>
              </w:tabs>
              <w:adjustRightInd w:val="0"/>
              <w:spacing w:line="0" w:lineRule="atLeast"/>
              <w:jc w:val="both"/>
            </w:pPr>
            <w:r>
              <w:t>iadesi zorunlu olan bir önceki sefere ait geçiş belgesini/belgelerini taşıtın çıkışında iade edemeyen firmalar</w:t>
            </w:r>
          </w:p>
          <w:p>
            <w:pPr>
              <w:pStyle w:val="9"/>
              <w:widowControl w:val="0"/>
              <w:numPr>
                <w:ilvl w:val="0"/>
                <w:numId w:val="1"/>
              </w:numPr>
              <w:tabs>
                <w:tab w:val="left" w:pos="426"/>
                <w:tab w:val="left" w:pos="1134"/>
              </w:tabs>
              <w:adjustRightInd w:val="0"/>
              <w:spacing w:line="0" w:lineRule="atLeast"/>
              <w:jc w:val="both"/>
            </w:pPr>
            <w:r>
              <w:t>Uluslararası anlaşmalar gereği; taşıma türüne ve taşıt/taşıma özelliğine uygun geçiş belgesinin kullanılarak uluslararası taşımaların yapılması,</w:t>
            </w:r>
          </w:p>
          <w:p>
            <w:pPr>
              <w:pStyle w:val="9"/>
              <w:widowControl w:val="0"/>
              <w:numPr>
                <w:ilvl w:val="0"/>
                <w:numId w:val="1"/>
              </w:numPr>
              <w:tabs>
                <w:tab w:val="left" w:pos="1134"/>
              </w:tabs>
              <w:adjustRightInd w:val="0"/>
              <w:spacing w:line="0" w:lineRule="atLeast"/>
              <w:jc w:val="both"/>
            </w:pPr>
            <w:r>
              <w:t>Taşıtlara tahsis edilen geçiş belgelerinin geçerlilik süresi içinde kullanılması,</w:t>
            </w:r>
          </w:p>
          <w:p>
            <w:pPr>
              <w:pStyle w:val="9"/>
              <w:widowControl w:val="0"/>
              <w:numPr>
                <w:ilvl w:val="0"/>
                <w:numId w:val="1"/>
              </w:numPr>
              <w:tabs>
                <w:tab w:val="left" w:pos="1134"/>
              </w:tabs>
              <w:adjustRightInd w:val="0"/>
              <w:spacing w:line="0" w:lineRule="atLeast"/>
              <w:jc w:val="both"/>
            </w:pPr>
            <w:r>
              <w:t>Uluslararası anlaşmalar gereği; geçiş belgesi kapsamında yapılması gereken taşımaların geçiş belgesiz olarak yapılmaması,</w:t>
            </w:r>
          </w:p>
          <w:p>
            <w:pPr>
              <w:pStyle w:val="9"/>
              <w:widowControl w:val="0"/>
              <w:numPr>
                <w:ilvl w:val="0"/>
                <w:numId w:val="1"/>
              </w:numPr>
              <w:tabs>
                <w:tab w:val="left" w:pos="1134"/>
              </w:tabs>
              <w:adjustRightInd w:val="0"/>
              <w:spacing w:line="0" w:lineRule="atLeast"/>
              <w:jc w:val="both"/>
            </w:pPr>
            <w:r>
              <w:t>Geçiş belgesi alınarak yurtdışına çıkış yaptıktan sonra herhangi bir sebeple ikinci bir geçiş belgesi talep edilmemesi,</w:t>
            </w:r>
          </w:p>
          <w:p>
            <w:pPr>
              <w:pStyle w:val="9"/>
              <w:widowControl w:val="0"/>
              <w:numPr>
                <w:ilvl w:val="0"/>
                <w:numId w:val="1"/>
              </w:numPr>
              <w:adjustRightInd w:val="0"/>
              <w:spacing w:line="0" w:lineRule="atLeast"/>
              <w:jc w:val="both"/>
            </w:pPr>
            <w:r>
              <w:t>Geçiş belgelerinin taşıtların yurtdışına çıkışından önce alınması, yurtdışına çıkış yaptıktan sonra güzergah değişikliği için ayrıca belge talep edilmemesi,</w:t>
            </w:r>
          </w:p>
          <w:p>
            <w:pPr>
              <w:spacing w:line="360" w:lineRule="auto"/>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5" w:type="dxa"/>
            <w:vAlign w:val="top"/>
          </w:tcPr>
          <w:p>
            <w:pPr>
              <w:pStyle w:val="2"/>
              <w:spacing w:before="120" w:line="360" w:lineRule="auto"/>
              <w:outlineLvl w:val="1"/>
              <w:rPr>
                <w:bCs/>
                <w:sz w:val="24"/>
                <w:szCs w:val="24"/>
              </w:rPr>
            </w:pPr>
            <w:r>
              <w:rPr>
                <w:bCs/>
                <w:sz w:val="24"/>
                <w:szCs w:val="24"/>
              </w:rPr>
              <w:t xml:space="preserve">Madde 77: </w:t>
            </w:r>
            <w:bookmarkStart w:id="22" w:name="_Toc226279869"/>
            <w:bookmarkStart w:id="23" w:name="_Toc232566812"/>
            <w:r>
              <w:rPr>
                <w:bCs/>
                <w:sz w:val="24"/>
                <w:szCs w:val="24"/>
              </w:rPr>
              <w:t>Geçici durdurma</w:t>
            </w:r>
            <w:bookmarkEnd w:id="22"/>
            <w:bookmarkEnd w:id="23"/>
          </w:p>
          <w:p>
            <w:pPr>
              <w:pStyle w:val="8"/>
              <w:jc w:val="both"/>
            </w:pPr>
            <w:r>
              <w:t>(2) Birinci fıkraya göre haklarında geçici durdurma işlemi tesis edilen yetki belgesi sahiplerinin, kendilerinden istenilen bilgi ve belgeleri işlem tarihinden sonra Bakanlığa vermeleri halinde; durdurma işleminin fiilen gerçekleştiği tarihi takip eden dördüncü günden itibaren faaliyetlerine izin verilir.</w:t>
            </w:r>
          </w:p>
          <w:p>
            <w:pPr>
              <w:pStyle w:val="8"/>
              <w:jc w:val="both"/>
            </w:pPr>
          </w:p>
          <w:p>
            <w:pPr>
              <w:pStyle w:val="8"/>
              <w:jc w:val="both"/>
              <w:rPr>
                <w:strike/>
              </w:rPr>
            </w:pPr>
            <w:r>
              <w:rPr>
                <w:strike/>
              </w:rPr>
              <w:t>(3) 30 uncu maddenin birinci fıkrasına aykırı hareket ederek 1 takvim yılı içinde 3 kez uyarma alan yetki belgesi sahibinin, yetki belgesi kapsamındaki faaliyetleri 10 gün süreyle geçici olarak durdurulur.</w:t>
            </w:r>
          </w:p>
          <w:p>
            <w:pPr>
              <w:pStyle w:val="8"/>
              <w:jc w:val="both"/>
              <w:rPr>
                <w:strike/>
              </w:rPr>
            </w:pPr>
          </w:p>
          <w:p>
            <w:pPr>
              <w:pStyle w:val="8"/>
              <w:jc w:val="both"/>
              <w:rPr>
                <w:strike/>
              </w:rPr>
            </w:pPr>
            <w:r>
              <w:rPr>
                <w:strike/>
              </w:rPr>
              <w:t>(4) 35 inci maddenin birinci fıkrasının (a) bendine aykırı olarak, hizmet akdi olmadan personel istihdamının 1 takvim yılı içinde 3 kez tespit edilmesi halinde yetki belgesi sahibinin, yetki belgesi kapsamındaki faaliyetleri 10 gün süreyle geçici olarak durdurulur.</w:t>
            </w:r>
          </w:p>
          <w:p>
            <w:pPr>
              <w:pStyle w:val="8"/>
              <w:jc w:val="both"/>
              <w:rPr>
                <w:strike/>
              </w:rPr>
            </w:pPr>
          </w:p>
          <w:p>
            <w:pPr>
              <w:pStyle w:val="8"/>
              <w:jc w:val="both"/>
              <w:rPr>
                <w:strike/>
              </w:rPr>
            </w:pPr>
            <w:r>
              <w:rPr>
                <w:strike/>
              </w:rPr>
              <w:t>(7) 59 uncu maddenin ikinci fıkrasına aykırı hareket ederek uyarma alan yetki belgesi sahipleri aynı aykırılığı 1 takvim yılı içinde 2 kez yaparlarsa, hem taşımacı hem de acentesinin faaliyetleri 10 gün süre ile geçici olarak durdurulur.</w:t>
            </w:r>
          </w:p>
          <w:p>
            <w:pPr>
              <w:pStyle w:val="2"/>
              <w:spacing w:before="120" w:line="360" w:lineRule="auto"/>
              <w:ind w:firstLine="709"/>
              <w:outlineLvl w:val="1"/>
              <w:rPr>
                <w:bCs/>
                <w:sz w:val="24"/>
                <w:szCs w:val="24"/>
              </w:rPr>
            </w:pPr>
          </w:p>
        </w:tc>
        <w:tc>
          <w:tcPr>
            <w:tcW w:w="5529" w:type="dxa"/>
            <w:vAlign w:val="top"/>
          </w:tcPr>
          <w:p>
            <w:pPr>
              <w:pStyle w:val="2"/>
              <w:spacing w:before="120" w:line="360" w:lineRule="auto"/>
              <w:outlineLvl w:val="1"/>
              <w:rPr>
                <w:bCs/>
                <w:sz w:val="24"/>
                <w:szCs w:val="24"/>
              </w:rPr>
            </w:pPr>
            <w:r>
              <w:rPr>
                <w:bCs/>
                <w:sz w:val="24"/>
                <w:szCs w:val="24"/>
              </w:rPr>
              <w:t>Madde 77: Geçici durdurma</w:t>
            </w:r>
          </w:p>
          <w:p>
            <w:pPr>
              <w:pStyle w:val="8"/>
              <w:jc w:val="both"/>
              <w:rPr>
                <w:color w:val="C00000"/>
              </w:rPr>
            </w:pPr>
            <w:r>
              <w:rPr>
                <w:color w:val="C00000"/>
              </w:rPr>
              <w:t>“(2) Birinci fıkraya göre haklarında geçici durdurma işlemi tesis edilen yetki belgesi sahiplerinin, kendilerinden istenilen bilgi ve belgeleri işlem tarihinden sonra Bakanlığa vermeleri halinde, faaliyetlerine izin verilir.”</w:t>
            </w:r>
          </w:p>
          <w:p/>
          <w:p>
            <w:pPr>
              <w:rPr>
                <w:b/>
              </w:rPr>
            </w:pPr>
            <w:r>
              <w:rPr>
                <w:b/>
              </w:rPr>
              <w:t>EK FIKRALAR:</w:t>
            </w:r>
          </w:p>
          <w:p>
            <w:pPr>
              <w:pStyle w:val="8"/>
              <w:jc w:val="both"/>
              <w:rPr>
                <w:color w:val="C00000"/>
              </w:rPr>
            </w:pPr>
            <w:r>
              <w:rPr>
                <w:color w:val="C00000"/>
              </w:rPr>
              <w:t>“(11) Yetki belgesi sahibine verilen uyarmaların toplam sayısı 50 adede ulaşınca ilgili yetki belgesi kapsamındaki faaliyetleri 50 adede ulaşılan uyarmanın tebliğ tarihini takip eden 15 inci günün sonunda uyarmaların sayısı 50 veya daha fazla ise geçici olarak durdurulur. Bu şekilde yetki belgesi kapsamında geçici olarak faaliyeti durdurulanlar, gerekli ödemeyi yaparak uyarmaların sayısını 50 adedin altına indirirlerse yetki belgesi kapsamındaki faaliyetlerine izin verilir.</w:t>
            </w: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r>
              <w:rPr>
                <w:color w:val="C00000"/>
              </w:rPr>
              <w:t>(12) 12 nci maddenin birinci fıkrasının (ç) bendinin (1) numaralı alt bendine uymayarak faal vergi mükellefi olmayan yetki belgesi sahiplerinin faaliyetleri, durumun tespit edildiği tarihte geçici olarak durdurulur. Bu şekilde faaliyeti geçici olarak durdurulan yetki belgesi sahiplerinin yeniden faal vergi mükellefi olmaları halinde faaliyetlerine izin verilir.”</w:t>
            </w:r>
          </w:p>
          <w:p/>
        </w:tc>
        <w:tc>
          <w:tcPr>
            <w:tcW w:w="4819" w:type="dxa"/>
            <w:vAlign w:val="top"/>
          </w:tcPr>
          <w:p>
            <w:pPr>
              <w:pStyle w:val="8"/>
              <w:jc w:val="both"/>
              <w:rPr>
                <w:bCs/>
                <w:color w:val="000000"/>
              </w:rPr>
            </w:pPr>
          </w:p>
          <w:p>
            <w:pPr>
              <w:pStyle w:val="8"/>
              <w:jc w:val="both"/>
              <w:rPr>
                <w:bCs/>
                <w:color w:val="000000"/>
              </w:rPr>
            </w:pPr>
            <w:r>
              <w:rPr>
                <w:bCs/>
                <w:color w:val="000000"/>
              </w:rPr>
              <w:t>77 inci maddenin 3, 4 ve 7 inci fıkraları Yönetmelikten çıkarılmıştır.</w:t>
            </w:r>
          </w:p>
          <w:p>
            <w:pPr>
              <w:pStyle w:val="8"/>
              <w:jc w:val="both"/>
              <w:rPr>
                <w:bCs/>
                <w:color w:val="000000"/>
              </w:rPr>
            </w:pPr>
          </w:p>
          <w:p>
            <w:pPr>
              <w:pStyle w:val="8"/>
              <w:jc w:val="both"/>
              <w:rPr>
                <w:bCs/>
                <w:color w:val="000000"/>
              </w:rPr>
            </w:pPr>
          </w:p>
          <w:p>
            <w:pPr>
              <w:pStyle w:val="8"/>
              <w:jc w:val="both"/>
              <w:rPr>
                <w:bCs/>
                <w:color w:val="000000"/>
              </w:rPr>
            </w:pPr>
          </w:p>
          <w:p>
            <w:pPr>
              <w:pStyle w:val="8"/>
              <w:jc w:val="both"/>
              <w:rPr>
                <w:bCs/>
                <w:color w:val="000000"/>
              </w:rPr>
            </w:pPr>
          </w:p>
          <w:p>
            <w:pPr>
              <w:pStyle w:val="8"/>
              <w:jc w:val="both"/>
              <w:rPr>
                <w:bCs/>
                <w:color w:val="000000"/>
              </w:rPr>
            </w:pPr>
          </w:p>
          <w:p>
            <w:pPr>
              <w:pStyle w:val="8"/>
              <w:jc w:val="both"/>
              <w:rPr>
                <w:bCs/>
                <w:color w:val="000000"/>
              </w:rPr>
            </w:pPr>
          </w:p>
          <w:p>
            <w:pPr>
              <w:pStyle w:val="8"/>
              <w:jc w:val="both"/>
              <w:rPr>
                <w:color w:val="000000"/>
              </w:rPr>
            </w:pPr>
            <w:r>
              <w:rPr>
                <w:bCs/>
                <w:color w:val="000000"/>
              </w:rPr>
              <w:t xml:space="preserve">Uyarma cezalarının 50 adede ulaşması halinde, yetki belgesini iptal etmek yerine, </w:t>
            </w:r>
            <w:r>
              <w:rPr>
                <w:color w:val="000000"/>
              </w:rPr>
              <w:t xml:space="preserve">ilgili yetki belgesi kapsamındaki faaliyetlerin 50 adede ulaşılan uyarmanın tebliğ tarihini takip eden 15 inci günün sonunda firma faaliyetlerinin geçici olarak durdurulması hükme bağlanmıştır. </w:t>
            </w:r>
          </w:p>
          <w:p>
            <w:pPr>
              <w:pStyle w:val="8"/>
              <w:jc w:val="both"/>
              <w:rPr>
                <w:color w:val="000000"/>
              </w:rPr>
            </w:pPr>
          </w:p>
          <w:p>
            <w:pPr>
              <w:pStyle w:val="8"/>
              <w:jc w:val="both"/>
              <w:rPr>
                <w:color w:val="000000"/>
              </w:rPr>
            </w:pPr>
            <w:r>
              <w:rPr>
                <w:color w:val="000000"/>
              </w:rPr>
              <w:t>Bu şekilde yetki belgesi kapsamında geçici olarak faaliyeti durdurulanlar, gerekli ödemeyi yaparak uyarmaların sayısını 50 adedin altına indirirlerse yetki belgesi kapsamındaki faaliyetlerine izin verilecektir.</w:t>
            </w:r>
          </w:p>
          <w:p>
            <w:pPr>
              <w:pStyle w:val="2"/>
              <w:spacing w:before="120" w:line="360" w:lineRule="auto"/>
              <w:outlineLvl w:val="1"/>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5" w:type="dxa"/>
            <w:vAlign w:val="top"/>
          </w:tcPr>
          <w:p>
            <w:pPr>
              <w:pStyle w:val="8"/>
              <w:rPr>
                <w:b/>
              </w:rPr>
            </w:pPr>
            <w:bookmarkStart w:id="24" w:name="_Toc226279870"/>
            <w:bookmarkStart w:id="25" w:name="_Toc232566813"/>
            <w:r>
              <w:rPr>
                <w:b/>
              </w:rPr>
              <w:t>İptal</w:t>
            </w:r>
            <w:bookmarkEnd w:id="24"/>
            <w:bookmarkEnd w:id="25"/>
          </w:p>
          <w:p>
            <w:pPr>
              <w:pStyle w:val="8"/>
            </w:pPr>
            <w:r>
              <w:rPr>
                <w:b/>
              </w:rPr>
              <w:t>MADDE 78:</w:t>
            </w:r>
            <w:r>
              <w:t xml:space="preserve"> </w:t>
            </w:r>
          </w:p>
          <w:p>
            <w:pPr>
              <w:pStyle w:val="8"/>
            </w:pPr>
          </w:p>
          <w:p>
            <w:pPr>
              <w:pStyle w:val="8"/>
              <w:jc w:val="both"/>
            </w:pPr>
            <w:r>
              <w:t>(2) 15 inci maddenin beşinci fıkrasına göre yapılan inceleme ve araştırma sonucunda, beyan edilen bilgiler ve verilen belgelerden herhangi birinin yanlış, yanıltıcı, tahrif edilmiş veya sahte olarak verilmek suretiyle haksız yetki belgesi alındığının veya yenilendiğinin veya değiştirildiğinin tespit edilmesi halinde, yetki belgesi iptal edilir. Bu iptal işlemi, bilgi için, gerekçesiyle birlikte ilgili yetki belgesi sahibine, ilgililer hakkında gerekli kanuni işlemin yapılması için de, durum ilgili Cumhuriyet Savcılığına bildirilir.</w:t>
            </w:r>
          </w:p>
          <w:p>
            <w:pPr>
              <w:pStyle w:val="8"/>
              <w:jc w:val="both"/>
            </w:pPr>
          </w:p>
          <w:p>
            <w:pPr>
              <w:pStyle w:val="8"/>
              <w:jc w:val="both"/>
            </w:pPr>
          </w:p>
          <w:p>
            <w:pPr>
              <w:pStyle w:val="8"/>
              <w:jc w:val="both"/>
            </w:pPr>
          </w:p>
          <w:p>
            <w:pPr>
              <w:pStyle w:val="8"/>
              <w:jc w:val="both"/>
              <w:rPr>
                <w:strike/>
              </w:rPr>
            </w:pPr>
            <w:r>
              <w:rPr>
                <w:strike/>
              </w:rPr>
              <w:t>(7) 76 ncı maddeye göre verilen ve veriliş tarihinden itibaren 90 gün içinde kaldırılmadığı için kalıcı hale gelen uyarmaların toplam sayısı 50 adede ulaşınca ilgilinin yetki belgesi iptal edilir.</w:t>
            </w:r>
          </w:p>
          <w:p>
            <w:pPr>
              <w:pStyle w:val="8"/>
              <w:jc w:val="both"/>
            </w:pPr>
          </w:p>
          <w:p>
            <w:pPr>
              <w:pStyle w:val="8"/>
              <w:jc w:val="both"/>
            </w:pPr>
          </w:p>
          <w:p>
            <w:pPr>
              <w:pStyle w:val="8"/>
              <w:jc w:val="both"/>
            </w:pPr>
          </w:p>
          <w:p>
            <w:pPr>
              <w:pStyle w:val="8"/>
              <w:jc w:val="both"/>
            </w:pPr>
          </w:p>
          <w:p>
            <w:pPr>
              <w:pStyle w:val="8"/>
              <w:jc w:val="both"/>
            </w:pPr>
          </w:p>
          <w:p>
            <w:pPr>
              <w:pStyle w:val="8"/>
              <w:jc w:val="both"/>
            </w:pPr>
            <w:r>
              <w:t xml:space="preserve">(9) </w:t>
            </w:r>
            <w:r>
              <w:rPr>
                <w:rFonts w:eastAsia="ヒラギノ明朝 Pro W3"/>
                <w:lang w:eastAsia="en-US"/>
              </w:rPr>
              <w:t>Yetki belgesi sahibinin faaliyeti esnasında, yetki belgesi alma şartlarından herhangi birini kaybetmesi ve bu konuda, bu Yönetmelikte bir süre öngörülmemiş olması halinde, kaybedilen şartın veya şartların giderilmesi veya tamamlanması için Bakanlıkça 90 gün beklenir. Bu 90 günlük süre içinde eksikliğin giderilmemesi halinde yetki belgesi iptal edilir.</w:t>
            </w:r>
            <w:r>
              <w:rPr>
                <w:b/>
              </w:rPr>
              <w:t xml:space="preserve"> </w:t>
            </w:r>
          </w:p>
          <w:p>
            <w:pPr>
              <w:spacing w:line="360" w:lineRule="auto"/>
              <w:jc w:val="both"/>
            </w:pPr>
          </w:p>
          <w:p/>
        </w:tc>
        <w:tc>
          <w:tcPr>
            <w:tcW w:w="5529" w:type="dxa"/>
            <w:vAlign w:val="top"/>
          </w:tcPr>
          <w:p>
            <w:pPr>
              <w:pStyle w:val="8"/>
              <w:rPr>
                <w:b/>
              </w:rPr>
            </w:pPr>
            <w:r>
              <w:rPr>
                <w:b/>
              </w:rPr>
              <w:t>İptal</w:t>
            </w:r>
          </w:p>
          <w:p>
            <w:pPr>
              <w:pStyle w:val="8"/>
              <w:rPr>
                <w:b/>
              </w:rPr>
            </w:pPr>
            <w:r>
              <w:rPr>
                <w:b/>
              </w:rPr>
              <w:t xml:space="preserve">MADDE 78: </w:t>
            </w:r>
          </w:p>
          <w:p>
            <w:pPr>
              <w:pStyle w:val="8"/>
              <w:jc w:val="both"/>
              <w:rPr>
                <w:color w:val="C00000"/>
              </w:rPr>
            </w:pPr>
          </w:p>
          <w:p>
            <w:pPr>
              <w:pStyle w:val="8"/>
              <w:jc w:val="both"/>
              <w:rPr>
                <w:color w:val="C00000"/>
              </w:rPr>
            </w:pPr>
            <w:r>
              <w:rPr>
                <w:color w:val="C00000"/>
              </w:rPr>
              <w:t>“(2) 15 inci maddenin beşinci fıkrasına göre yapılan inceleme ve araştırma sonucunda, beyan edilen bilgiler ve verilen belgelerden herhangi birinin tahrif edilmiş olduğunun veya sahte olarak verilmek suretiyle haksız yetki belgesi alındığının veya yenilendiğinin veya değiştirildiğinin tespit edilmesi halinde, yetki belgesi iptal edilir. Bu iptal işlemi, bilgi için, gerekçesiyle birlikte ilgili yetki belgesi sahibine, sunulan belgeler arasında tahrif edilmiş veya sahte belge verildiğinin tespit edilmesi halinde ise ilgililer hakkında gerekli kanuni işlemin yapılması için ilgili Cumhuriyet Savcılığına bildirilir.”</w:t>
            </w: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p>
          <w:p>
            <w:pPr>
              <w:pStyle w:val="8"/>
              <w:jc w:val="both"/>
              <w:rPr>
                <w:color w:val="C00000"/>
              </w:rPr>
            </w:pPr>
            <w:r>
              <w:rPr>
                <w:color w:val="C00000"/>
              </w:rPr>
              <w:t>“(9) Yetki belgesi sahibinin faaliyeti esnasında, 12 nci maddenin birinci fıkrasının (ç) bendinin (1) numaralı alt bendindeki hüküm hariç yetki belgesi alma şartlarından herhangi birini kaybetmesi ve bu konuda, bu Yönetmelikte bir süre öngörülmemiş olması halinde, kaybedilen şartın veya şartların giderilmesi veya tamamlanması için Bakanlıkça 90 gün beklenir. Bu 90 günlük süre içinde eksikliğin giderilmemesi halinde yetki belgesi iptal edilir.”</w:t>
            </w:r>
          </w:p>
          <w:p/>
        </w:tc>
        <w:tc>
          <w:tcPr>
            <w:tcW w:w="4819" w:type="dxa"/>
            <w:vAlign w:val="top"/>
          </w:tcPr>
          <w:p>
            <w:pPr>
              <w:pStyle w:val="2"/>
              <w:spacing w:before="120" w:line="360" w:lineRule="auto"/>
              <w:outlineLvl w:val="1"/>
              <w:rPr>
                <w:bCs/>
                <w:sz w:val="24"/>
                <w:szCs w:val="24"/>
              </w:rPr>
            </w:pPr>
          </w:p>
          <w:p/>
          <w:p/>
          <w:p/>
          <w:p/>
          <w:p/>
          <w:p/>
          <w:p/>
          <w:p/>
          <w:p/>
          <w:p/>
          <w:p/>
          <w:p/>
          <w:p/>
          <w:p/>
          <w:p/>
          <w:p>
            <w:pPr>
              <w:jc w:val="both"/>
            </w:pPr>
            <w:r>
              <w:t xml:space="preserve">Yönetmeliğin 76 / (7) maddesinde yer alan 90 gün içinde kaldırılmayan uyarma cezalarının kalıcı hakle geleceğine ve bu uyarmaların 50 adede ulaşması halinde yekti Belgesinin iptal edileceğini ilişkin hüküm Yönetmelikten kaldırılmış ve böylelikle uyarma cezalarının kalıcı hale gelmesi ve yetki belge iptalleri Yönetmelikten çıkarılmıştır.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5" w:type="dxa"/>
            <w:vAlign w:val="top"/>
          </w:tcPr>
          <w:p>
            <w:pPr>
              <w:pStyle w:val="2"/>
              <w:spacing w:before="120" w:line="360" w:lineRule="auto"/>
              <w:outlineLvl w:val="1"/>
              <w:rPr>
                <w:bCs/>
                <w:sz w:val="24"/>
                <w:szCs w:val="24"/>
              </w:rPr>
            </w:pPr>
            <w:bookmarkStart w:id="26" w:name="_Toc226279876"/>
            <w:bookmarkStart w:id="27" w:name="_Toc232566818"/>
            <w:r>
              <w:rPr>
                <w:bCs/>
                <w:sz w:val="24"/>
                <w:szCs w:val="24"/>
              </w:rPr>
              <w:t>Belge ücretleri</w:t>
            </w:r>
            <w:bookmarkEnd w:id="26"/>
            <w:bookmarkEnd w:id="27"/>
          </w:p>
          <w:p>
            <w:pPr>
              <w:pStyle w:val="4"/>
              <w:spacing w:line="360" w:lineRule="auto"/>
              <w:rPr>
                <w:b/>
                <w:i/>
              </w:rPr>
            </w:pPr>
            <w:r>
              <w:rPr>
                <w:b/>
              </w:rPr>
              <w:t xml:space="preserve">MADDE </w:t>
            </w:r>
            <w:r>
              <w:rPr>
                <w:b/>
                <w:bCs/>
              </w:rPr>
              <w:t>80</w:t>
            </w:r>
            <w:r>
              <w:rPr>
                <w:rFonts w:eastAsia="ヒラギノ明朝 Pro W3"/>
                <w:lang w:eastAsia="en-US"/>
              </w:rPr>
              <w:t>- (4) Düzenlenme işlemi tamamlanmış olan belge ücretleri iade edilmez ve geri ödenmez.</w:t>
            </w:r>
          </w:p>
          <w:p>
            <w:pPr>
              <w:pStyle w:val="2"/>
              <w:spacing w:before="120" w:line="360" w:lineRule="auto"/>
              <w:outlineLvl w:val="1"/>
              <w:rPr>
                <w:bCs/>
                <w:sz w:val="24"/>
                <w:szCs w:val="24"/>
              </w:rPr>
            </w:pPr>
          </w:p>
        </w:tc>
        <w:tc>
          <w:tcPr>
            <w:tcW w:w="5529" w:type="dxa"/>
            <w:vAlign w:val="top"/>
          </w:tcPr>
          <w:p>
            <w:pPr>
              <w:pStyle w:val="2"/>
              <w:spacing w:before="120" w:line="360" w:lineRule="auto"/>
              <w:outlineLvl w:val="1"/>
              <w:rPr>
                <w:bCs/>
                <w:sz w:val="24"/>
                <w:szCs w:val="24"/>
              </w:rPr>
            </w:pPr>
            <w:r>
              <w:rPr>
                <w:bCs/>
                <w:sz w:val="24"/>
                <w:szCs w:val="24"/>
              </w:rPr>
              <w:t>Belge ücretleri</w:t>
            </w:r>
          </w:p>
          <w:p>
            <w:pPr>
              <w:spacing w:line="240" w:lineRule="atLeast"/>
              <w:jc w:val="both"/>
              <w:rPr>
                <w:sz w:val="18"/>
                <w:szCs w:val="18"/>
              </w:rPr>
            </w:pPr>
            <w:r>
              <w:rPr>
                <w:b/>
              </w:rPr>
              <w:t xml:space="preserve">MADDE </w:t>
            </w:r>
            <w:r>
              <w:rPr>
                <w:b/>
                <w:bCs/>
              </w:rPr>
              <w:t>80</w:t>
            </w:r>
            <w:r>
              <w:t>-</w:t>
            </w:r>
          </w:p>
          <w:p>
            <w:pPr>
              <w:pStyle w:val="8"/>
              <w:jc w:val="both"/>
              <w:rPr>
                <w:color w:val="C00000"/>
              </w:rPr>
            </w:pPr>
            <w:r>
              <w:rPr>
                <w:color w:val="C00000"/>
              </w:rPr>
              <w:t>“(4) Düzenlenme işlemi tamamlanmış olan belge ücretleri iade edilmez ve geri ödenmez. Ancak, bir yetki belgesi iptal edildikten sonra aynı yetki belgesini yeniden alanların, ilk yetki belgesiyle ilgili iptal işleminin yargı kararıyla iptal edilmesi halinde, sonradan alınan yetki belgesi Bakanlıkça re’sen iptal edilir ve bu belge için ödenmiş yetki belgesi ve taşıt kartı ücretleri ilgilisine iade edilir. İlk yetki belgesi geçerli hale getirilerek iptal edildiği tarihteki taşıtlar yetki belgesi eki taşıt belgesine ücret alınmadan ilave edilir.”</w:t>
            </w:r>
          </w:p>
          <w:p/>
        </w:tc>
        <w:tc>
          <w:tcPr>
            <w:tcW w:w="4819" w:type="dxa"/>
            <w:vAlign w:val="top"/>
          </w:tcPr>
          <w:p>
            <w:pPr>
              <w:pStyle w:val="8"/>
              <w:rPr>
                <w:rFonts w:eastAsia="ヒラギノ明朝 Pro W3"/>
                <w:lang w:eastAsia="en-US"/>
              </w:rPr>
            </w:pPr>
          </w:p>
          <w:p>
            <w:pPr>
              <w:pStyle w:val="8"/>
              <w:rPr>
                <w:rFonts w:eastAsia="ヒラギノ明朝 Pro W3"/>
                <w:lang w:eastAsia="en-US"/>
              </w:rPr>
            </w:pPr>
          </w:p>
          <w:p>
            <w:pPr>
              <w:pStyle w:val="8"/>
              <w:rPr>
                <w:rFonts w:eastAsia="ヒラギノ明朝 Pro W3"/>
                <w:lang w:eastAsia="en-US"/>
              </w:rPr>
            </w:pPr>
          </w:p>
          <w:p>
            <w:pPr>
              <w:pStyle w:val="8"/>
              <w:jc w:val="both"/>
              <w:rPr>
                <w:rFonts w:eastAsia="ヒラギノ明朝 Pro W3"/>
                <w:lang w:eastAsia="en-US"/>
              </w:rPr>
            </w:pPr>
            <w:r>
              <w:rPr>
                <w:rFonts w:eastAsia="ヒラギノ明朝 Pro W3"/>
                <w:lang w:eastAsia="en-US"/>
              </w:rPr>
              <w:t xml:space="preserve">Düzenlenme işlemi tamamlanmış olan belge ücretlerinin iade edilmeyeceği ve geri ödenmeyeceğine dair hükmü revize edilmiştir. </w:t>
            </w:r>
          </w:p>
          <w:p>
            <w:pPr>
              <w:pStyle w:val="8"/>
              <w:jc w:val="both"/>
              <w:rPr>
                <w:rFonts w:eastAsia="ヒラギノ明朝 Pro W3"/>
                <w:lang w:eastAsia="en-US"/>
              </w:rPr>
            </w:pPr>
          </w:p>
          <w:p>
            <w:pPr>
              <w:pStyle w:val="8"/>
              <w:jc w:val="both"/>
              <w:rPr>
                <w:bCs/>
              </w:rPr>
            </w:pPr>
            <w:r>
              <w:rPr>
                <w:rFonts w:eastAsia="ヒラギノ明朝 Pro W3"/>
                <w:lang w:eastAsia="en-US"/>
              </w:rPr>
              <w:t xml:space="preserve">Buna göre, ilk yetki belgesiyle ilgili iptal işleminin yargı kararıyla iptal edilmesi halinde, sonradan alınan yetki belgesi Bakanlıkça re’sen iptal edilecek ve bu belge için ödenmiş yetki belgesi ve taşıt kartı ücretleri firmaya iade edilecektir.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5" w:type="dxa"/>
            <w:vAlign w:val="top"/>
          </w:tcPr>
          <w:p>
            <w:pPr>
              <w:pStyle w:val="2"/>
              <w:spacing w:before="120" w:line="360" w:lineRule="auto"/>
              <w:ind w:left="709"/>
              <w:outlineLvl w:val="1"/>
              <w:rPr>
                <w:bCs/>
                <w:sz w:val="24"/>
                <w:szCs w:val="24"/>
              </w:rPr>
            </w:pPr>
            <w:bookmarkStart w:id="28" w:name="_Toc226279883"/>
            <w:bookmarkStart w:id="29" w:name="_Toc232566825"/>
            <w:r>
              <w:rPr>
                <w:bCs/>
                <w:sz w:val="24"/>
                <w:szCs w:val="24"/>
              </w:rPr>
              <w:t>Bildirim</w:t>
            </w:r>
            <w:bookmarkEnd w:id="28"/>
            <w:bookmarkEnd w:id="29"/>
          </w:p>
          <w:p>
            <w:pPr>
              <w:pStyle w:val="8"/>
              <w:jc w:val="both"/>
              <w:rPr>
                <w:b/>
              </w:rPr>
            </w:pPr>
            <w:r>
              <w:rPr>
                <w:b/>
              </w:rPr>
              <w:t xml:space="preserve">MADDE 85- </w:t>
            </w:r>
            <w:r>
              <w:rPr>
                <w:rFonts w:eastAsia="ヒラギノ明朝 Pro W3"/>
                <w:lang w:eastAsia="en-US"/>
              </w:rPr>
              <w:t>(1) Bu Yönetmeliğe göre geçici durdurma ve iptallere ilişkin gönderilen bildirim yazılarının alıcısına ulaştırılamayıp iade edilmesi halinde, bildirim yazısının içeriği ulusal bir gazetede bir kez yayımlanır. Yayım tarihini takip eden yedi iş günü sonunda bildirim işlemi tamamlanmış sayılır.</w:t>
            </w:r>
            <w:r>
              <w:rPr>
                <w:b/>
              </w:rPr>
              <w:t xml:space="preserve"> </w:t>
            </w:r>
          </w:p>
          <w:p>
            <w:pPr>
              <w:pStyle w:val="2"/>
              <w:spacing w:before="120" w:line="360" w:lineRule="auto"/>
              <w:outlineLvl w:val="1"/>
              <w:rPr>
                <w:bCs/>
                <w:sz w:val="24"/>
                <w:szCs w:val="24"/>
              </w:rPr>
            </w:pPr>
          </w:p>
        </w:tc>
        <w:tc>
          <w:tcPr>
            <w:tcW w:w="5529" w:type="dxa"/>
            <w:vAlign w:val="top"/>
          </w:tcPr>
          <w:p>
            <w:pPr>
              <w:pStyle w:val="2"/>
              <w:spacing w:before="120" w:line="360" w:lineRule="auto"/>
              <w:ind w:left="709"/>
              <w:outlineLvl w:val="1"/>
              <w:rPr>
                <w:bCs/>
                <w:sz w:val="24"/>
                <w:szCs w:val="24"/>
              </w:rPr>
            </w:pPr>
            <w:r>
              <w:rPr>
                <w:bCs/>
                <w:sz w:val="24"/>
                <w:szCs w:val="24"/>
              </w:rPr>
              <w:t>Bildirim</w:t>
            </w:r>
          </w:p>
          <w:p>
            <w:pPr>
              <w:pStyle w:val="8"/>
              <w:jc w:val="both"/>
              <w:rPr>
                <w:color w:val="C00000"/>
              </w:rPr>
            </w:pPr>
            <w:r>
              <w:rPr>
                <w:b/>
                <w:color w:val="C00000"/>
              </w:rPr>
              <w:t>“MADDE 85 – (1)</w:t>
            </w:r>
            <w:r>
              <w:rPr>
                <w:color w:val="C00000"/>
              </w:rPr>
              <w:t xml:space="preserve"> Bu Yönetmeliğe göre idari para cezaları, uyarmalar, geçici durdurma ve iptallere ilişkin bildirimler 11/2/1959 tarihli ve 7201 sayılı Tebligat Kanununa göre yapılır.”</w:t>
            </w:r>
          </w:p>
          <w:p/>
        </w:tc>
        <w:tc>
          <w:tcPr>
            <w:tcW w:w="4819" w:type="dxa"/>
            <w:vAlign w:val="top"/>
          </w:tcPr>
          <w:p>
            <w:pPr>
              <w:pStyle w:val="2"/>
              <w:spacing w:before="120" w:line="360" w:lineRule="auto"/>
              <w:outlineLvl w:val="1"/>
              <w:rPr>
                <w:bCs/>
                <w:sz w:val="24"/>
                <w:szCs w:val="24"/>
              </w:rPr>
            </w:pPr>
          </w:p>
          <w:p>
            <w:r>
              <w:t>Bildirimlerde tebligat Kanunu’na göre işlem yapılacağı hükme bağlanmıştır.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5" w:type="dxa"/>
            <w:vAlign w:val="top"/>
          </w:tcPr>
          <w:p>
            <w:pPr>
              <w:pStyle w:val="2"/>
              <w:spacing w:before="120" w:line="360" w:lineRule="auto"/>
              <w:outlineLvl w:val="1"/>
              <w:rPr>
                <w:bCs/>
                <w:sz w:val="24"/>
                <w:szCs w:val="24"/>
              </w:rPr>
            </w:pPr>
          </w:p>
        </w:tc>
        <w:tc>
          <w:tcPr>
            <w:tcW w:w="5529" w:type="dxa"/>
            <w:vAlign w:val="top"/>
          </w:tcPr>
          <w:p>
            <w:pPr>
              <w:pStyle w:val="8"/>
              <w:jc w:val="both"/>
              <w:rPr>
                <w:color w:val="C00000"/>
              </w:rPr>
            </w:pPr>
            <w:r>
              <w:rPr>
                <w:b/>
                <w:color w:val="C00000"/>
              </w:rPr>
              <w:t>“GEÇİCİ MADDE 11 –</w:t>
            </w:r>
            <w:r>
              <w:rPr>
                <w:color w:val="C00000"/>
              </w:rPr>
              <w:t> </w:t>
            </w:r>
          </w:p>
          <w:p>
            <w:pPr>
              <w:pStyle w:val="8"/>
              <w:jc w:val="both"/>
              <w:rPr>
                <w:color w:val="C00000"/>
              </w:rPr>
            </w:pPr>
            <w:r>
              <w:rPr>
                <w:color w:val="C00000"/>
              </w:rPr>
              <w:t>(1) Bu maddenin yürürlüğe girdiği tarih itibarıyla yetki belgesi için verilmiş uyarmaların sayısı 50 adet ve üzerinde olduğu veya asgari kapasite şartını kaybettiği veya faal vergi mükellefi olmadığı için yetki belgeleri iptal edilmiş olan gerçek veya tüzel kişilerin 1/8/2017 tarihine kadar müracaat ederek iptal edilmiş yetki belgesini tekrar almak istemeleri halinde; yetki belgesi geçerli tam ücretinin %15’i tutarında ücret tahsil edilmesi ve bu Yönetmelikte ön görülen diğer şartların sağlanması koşuluyla istenen yetki belgesi adlarına yeniden düzenlenir. Bu şekilde düzenlenen yetki belgesi eki taşıt belgesine kayıt edilecek taşıtlar için geçerli taşıt kartı ücreti tam olarak tahsil edilir.</w:t>
            </w:r>
          </w:p>
          <w:p>
            <w:pPr>
              <w:pStyle w:val="8"/>
              <w:jc w:val="both"/>
              <w:rPr>
                <w:color w:val="C00000"/>
              </w:rPr>
            </w:pPr>
          </w:p>
          <w:p>
            <w:pPr>
              <w:pStyle w:val="8"/>
              <w:jc w:val="both"/>
              <w:rPr>
                <w:color w:val="C00000"/>
              </w:rPr>
            </w:pPr>
            <w:r>
              <w:rPr>
                <w:color w:val="C00000"/>
              </w:rPr>
              <w:t>(2) Bu maddenin yürürlüğe girdiği tarihten önce, yetki belgesi için verilmiş ve kalıcı hale gelmiş uyarmaların sayısı 50 adet ve üzerinde olduğu veya asgari kapasite şartını kaybettiği veya faal vergi mükellefi olmadığı için yetki belgeleri iptal edilmiş olan ve aynı cins yetki belgesini geçerli tam ücret ödeyerek almış olan gerçek veya tüzel kişilerin bu yetki belgeleri ile sınırlı olmak üzere, bu maddenin yürürlüğe girdiği tarihten sonra yapılacak ilk yenileme işleminden yetki belgesi yenileme ücreti alınmaz. Bu şekilde düzenlenen yetki belgesi eki taşıt belgesine kayıt edilecek taşıtlar için geçerli taşıt kartı ücreti tam olarak tahsil edilir.</w:t>
            </w:r>
          </w:p>
          <w:p>
            <w:pPr>
              <w:pStyle w:val="8"/>
              <w:jc w:val="both"/>
              <w:rPr>
                <w:color w:val="C00000"/>
              </w:rPr>
            </w:pPr>
          </w:p>
          <w:p/>
        </w:tc>
        <w:tc>
          <w:tcPr>
            <w:tcW w:w="4819" w:type="dxa"/>
            <w:vAlign w:val="top"/>
          </w:tcPr>
          <w:p>
            <w:pPr>
              <w:pStyle w:val="8"/>
              <w:jc w:val="both"/>
              <w:rPr>
                <w:b/>
                <w:color w:val="C00000"/>
              </w:rPr>
            </w:pPr>
          </w:p>
          <w:p>
            <w:pPr>
              <w:pStyle w:val="8"/>
              <w:jc w:val="both"/>
              <w:rPr>
                <w:color w:val="000000"/>
              </w:rPr>
            </w:pPr>
            <w:r>
              <w:rPr>
                <w:color w:val="000000"/>
              </w:rPr>
              <w:t xml:space="preserve">Yönetmelik değişikliğinin yürürlüğe girdiği 04.05.2016 tarihi itibari belirlenmiş sebepler doğrultusunda yetki belgesi iptal edilmiş firmalara, 1.8.2017 tarihine kadar müracaat etmeleri halinde, yeni yetki belge ücreti yerine sadece belge ücretinin sadece %15’ini ödeyerek ve belirlenen şartları sağlayarak istenen yetki belgelerinin yeniden adlarına düzenlenmesine imkân tanınmıştır. </w:t>
            </w:r>
          </w:p>
          <w:p>
            <w:pPr>
              <w:pStyle w:val="8"/>
              <w:jc w:val="both"/>
              <w:rPr>
                <w:color w:val="000000"/>
              </w:rPr>
            </w:pPr>
          </w:p>
          <w:p>
            <w:pPr>
              <w:pStyle w:val="8"/>
              <w:jc w:val="both"/>
              <w:rPr>
                <w:color w:val="000000"/>
              </w:rPr>
            </w:pPr>
          </w:p>
          <w:p>
            <w:pPr>
              <w:pStyle w:val="8"/>
              <w:jc w:val="both"/>
              <w:rPr>
                <w:color w:val="000000"/>
              </w:rPr>
            </w:pPr>
          </w:p>
          <w:p>
            <w:pPr>
              <w:pStyle w:val="8"/>
              <w:jc w:val="both"/>
              <w:rPr>
                <w:color w:val="000000"/>
              </w:rPr>
            </w:pPr>
          </w:p>
          <w:p>
            <w:pPr>
              <w:pStyle w:val="8"/>
              <w:jc w:val="both"/>
              <w:rPr>
                <w:color w:val="000000"/>
              </w:rPr>
            </w:pPr>
          </w:p>
          <w:p>
            <w:pPr>
              <w:pStyle w:val="8"/>
              <w:jc w:val="both"/>
              <w:rPr>
                <w:b/>
                <w:color w:val="C00000"/>
              </w:rPr>
            </w:pPr>
            <w:r>
              <w:rPr>
                <w:color w:val="000000"/>
              </w:rPr>
              <w:t>Yürürlüğe girdiği tarihten önce belirli sebepler doğrultusunda yetki belgeleri iptal edilmiş olan ve aynı cins yetki belgesini geçerli tam ücret ödeyerek almış olan firmalara, bu Yönetmelik değişikliğinin yürürlüğe girdiği tarihten sonra yapılacak ilk yenileme işleminden yetki belgesi yenileme ücreti alınmayacağı hükme bağlanmıştır.</w:t>
            </w:r>
            <w:r>
              <w:rPr>
                <w:color w:val="C00000"/>
              </w:rPr>
              <w:t> </w:t>
            </w:r>
          </w:p>
        </w:tc>
      </w:tr>
    </w:tbl>
    <w:p/>
    <w:sectPr>
      <w:pgSz w:w="16838" w:h="11906" w:orient="landscape"/>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00007A87" w:usb1="80000000" w:usb2="00000008" w:usb3="00000000" w:csb0="400001FF" w:csb1="FFFF0000"/>
  </w:font>
  <w:font w:name="宋体">
    <w:altName w:val="Times New Roman"/>
    <w:panose1 w:val="02010600030101010101"/>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A2"/>
    <w:family w:val="modern"/>
    <w:pitch w:val="default"/>
    <w:sig w:usb0="00007A87" w:usb1="80000000" w:usb2="00000008" w:usb3="00000000" w:csb0="400001FF" w:csb1="FFFF0000"/>
  </w:font>
  <w:font w:name="SimSun">
    <w:altName w:val="SimHei"/>
    <w:panose1 w:val="02010600030101010101"/>
    <w:charset w:val="86"/>
    <w:family w:val="auto"/>
    <w:pitch w:val="default"/>
    <w:sig w:usb0="00000003" w:usb1="080E0000" w:usb2="00000000" w:usb3="00000000" w:csb0="00040001" w:csb1="00000000"/>
  </w:font>
  <w:font w:name="Symbol">
    <w:panose1 w:val="05050102010706020507"/>
    <w:charset w:val="02"/>
    <w:family w:val="auto"/>
    <w:pitch w:val="default"/>
    <w:sig w:usb0="00000000" w:usb1="00000000" w:usb2="00000000" w:usb3="00000000" w:csb0="80000000" w:csb1="00000000"/>
  </w:font>
  <w:font w:name="ヒラギノ明朝 Pro W3">
    <w:altName w:val="Times New Roman"/>
    <w:panose1 w:val="00000000000000000000"/>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38145312">
    <w:nsid w:val="61A41D20"/>
    <w:multiLevelType w:val="multilevel"/>
    <w:tmpl w:val="61A41D20"/>
    <w:lvl w:ilvl="0" w:tentative="1">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num w:numId="1">
    <w:abstractNumId w:val="16381453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08"/>
  <w:drawingGridHorizontalSpacing w:val="0"/>
  <w:displayHorizontalDrawingGridEvery w:val="1"/>
  <w:displayVerticalDrawingGridEvery w:val="1"/>
  <w:characterSpacingControl w:val="doNotCompress"/>
  <w:compat>
    <w:spaceForUL/>
    <w:doNotLeaveBackslashAlone/>
    <w:ulTrailSpac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0" w:semiHidden="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99"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bidi="ar-SA"/>
    </w:rPr>
  </w:style>
  <w:style w:type="paragraph" w:styleId="2">
    <w:name w:val="heading 2"/>
    <w:basedOn w:val="1"/>
    <w:next w:val="1"/>
    <w:link w:val="10"/>
    <w:qFormat/>
    <w:uiPriority w:val="0"/>
    <w:pPr>
      <w:keepNext/>
      <w:jc w:val="both"/>
      <w:outlineLvl w:val="1"/>
    </w:pPr>
    <w:rPr>
      <w:b/>
      <w:sz w:val="22"/>
      <w:szCs w:val="22"/>
    </w:rPr>
  </w:style>
  <w:style w:type="character" w:default="1" w:styleId="7">
    <w:name w:val="Default Paragraph Font"/>
    <w:semiHidden/>
    <w:unhideWhenUsed/>
    <w:uiPriority w:val="1"/>
  </w:style>
  <w:style w:type="paragraph" w:styleId="3">
    <w:name w:val="Body Text"/>
    <w:basedOn w:val="1"/>
    <w:link w:val="11"/>
    <w:uiPriority w:val="0"/>
    <w:pPr>
      <w:jc w:val="both"/>
    </w:pPr>
    <w:rPr>
      <w:bCs/>
      <w:szCs w:val="20"/>
      <w:lang/>
    </w:rPr>
  </w:style>
  <w:style w:type="paragraph" w:styleId="4">
    <w:name w:val="Body Text 2"/>
    <w:basedOn w:val="1"/>
    <w:link w:val="12"/>
    <w:semiHidden/>
    <w:unhideWhenUsed/>
    <w:uiPriority w:val="99"/>
    <w:pPr>
      <w:spacing w:after="120" w:line="480" w:lineRule="auto"/>
    </w:pPr>
  </w:style>
  <w:style w:type="paragraph" w:styleId="5">
    <w:name w:val="header"/>
    <w:basedOn w:val="1"/>
    <w:link w:val="13"/>
    <w:uiPriority w:val="0"/>
    <w:pPr>
      <w:tabs>
        <w:tab w:val="center" w:pos="4819"/>
        <w:tab w:val="right" w:pos="9071"/>
      </w:tabs>
    </w:pPr>
    <w:rPr>
      <w:sz w:val="20"/>
      <w:szCs w:val="20"/>
    </w:rPr>
  </w:style>
  <w:style w:type="paragraph" w:styleId="6">
    <w:name w:val="Normal (Web)"/>
    <w:basedOn w:val="1"/>
    <w:uiPriority w:val="0"/>
    <w:pPr>
      <w:spacing w:before="100" w:beforeAutospacing="1" w:after="100" w:afterAutospacing="1"/>
    </w:pPr>
  </w:style>
  <w:style w:type="paragraph" w:customStyle="1" w:styleId="8">
    <w:name w:val="No Spacing"/>
    <w:qFormat/>
    <w:uiPriority w:val="1"/>
    <w:pPr>
      <w:spacing w:after="0" w:line="240" w:lineRule="auto"/>
    </w:pPr>
    <w:rPr>
      <w:rFonts w:ascii="Times New Roman" w:hAnsi="Times New Roman" w:eastAsia="Times New Roman" w:cs="Times New Roman"/>
      <w:sz w:val="24"/>
      <w:szCs w:val="24"/>
      <w:lang w:bidi="ar-SA"/>
    </w:rPr>
  </w:style>
  <w:style w:type="paragraph" w:customStyle="1" w:styleId="9">
    <w:name w:val="List Paragraph"/>
    <w:basedOn w:val="1"/>
    <w:qFormat/>
    <w:uiPriority w:val="34"/>
    <w:pPr>
      <w:ind w:left="720"/>
    </w:pPr>
  </w:style>
  <w:style w:type="character" w:customStyle="1" w:styleId="10">
    <w:name w:val="Başlık 2 Char"/>
    <w:basedOn w:val="7"/>
    <w:link w:val="2"/>
    <w:uiPriority w:val="0"/>
    <w:rPr>
      <w:rFonts w:ascii="Times New Roman" w:hAnsi="Times New Roman" w:eastAsia="Times New Roman" w:cs="Times New Roman"/>
      <w:b/>
      <w:lang/>
    </w:rPr>
  </w:style>
  <w:style w:type="character" w:customStyle="1" w:styleId="11">
    <w:name w:val="Gövde Metni Char"/>
    <w:basedOn w:val="7"/>
    <w:link w:val="3"/>
    <w:uiPriority w:val="0"/>
    <w:rPr>
      <w:rFonts w:ascii="Times New Roman" w:hAnsi="Times New Roman" w:eastAsia="Times New Roman" w:cs="Times New Roman"/>
      <w:bCs/>
      <w:sz w:val="24"/>
      <w:szCs w:val="20"/>
      <w:lang/>
    </w:rPr>
  </w:style>
  <w:style w:type="character" w:customStyle="1" w:styleId="12">
    <w:name w:val="Gövde Metni 2 Char"/>
    <w:basedOn w:val="7"/>
    <w:link w:val="4"/>
    <w:semiHidden/>
    <w:uiPriority w:val="99"/>
    <w:rPr>
      <w:rFonts w:ascii="Times New Roman" w:hAnsi="Times New Roman" w:eastAsia="Times New Roman" w:cs="Times New Roman"/>
      <w:sz w:val="24"/>
      <w:szCs w:val="24"/>
      <w:lang/>
    </w:rPr>
  </w:style>
  <w:style w:type="character" w:customStyle="1" w:styleId="13">
    <w:name w:val="Üstbilgi Char"/>
    <w:basedOn w:val="7"/>
    <w:link w:val="5"/>
    <w:uiPriority w:val="0"/>
    <w:rPr>
      <w:rFonts w:ascii="Times New Roman" w:hAnsi="Times New Roman" w:eastAsia="Times New Roman" w:cs="Times New Roman"/>
      <w:sz w:val="20"/>
      <w:szCs w:val="20"/>
      <w:lang/>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3609</Words>
  <Characters>20577</Characters>
  <Lines>171</Lines>
  <Paragraphs>48</Paragraphs>
  <TotalTime>0</TotalTime>
  <ScaleCrop>false</ScaleCrop>
  <LinksUpToDate>false</LinksUpToDate>
  <CharactersWithSpaces>0</CharactersWithSpaces>
  <Application>WPS Office_9.1.0.4758_{F1E327BC-269C-435d-A152-05C5408002CA}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2016-05-04T05:45:00Z</dcterms:created>
  <dc:creator>Erman Ereke</dc:creator>
  <cp:lastModifiedBy>Administrator</cp:lastModifiedBy>
  <dcterms:modified xsi:type="dcterms:W3CDTF">2016-05-06T08:24:38Z</dcterms:modified>
  <dc:title>KTY ESKİ</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